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beforeLines="0" w:before="93"/>
        <w:rPr>
          <w:rFonts w:ascii="Times New Roman" w:eastAsia="方正小标宋简体" w:hAnsi="Times New Roman"/>
          <w:kern w:val="2"/>
          <w:sz w:val="72"/>
          <w:szCs w:val="72"/>
        </w:rPr>
      </w:pPr>
      <w:bookmarkStart w:id="0" w:name="_Toc15396597"/>
      <w:bookmarkStart w:id="1" w:name="_Toc15396475"/>
      <w:bookmarkStart w:id="2" w:name="_Toc15377193"/>
      <w:bookmarkStart w:id="3" w:name="_Toc15377425"/>
      <w:bookmarkStart w:id="4" w:name="_Toc15378441"/>
      <w:bookmarkStart w:id="5" w:name="_Toc15306267"/>
    </w:p>
    <w:p>
      <w:pPr>
        <w:pStyle w:val="18"/>
        <w:spacing w:beforeLines="0" w:before="93"/>
        <w:rPr>
          <w:rFonts w:ascii="Times New Roman" w:eastAsia="方正小标宋简体" w:hAnsi="Times New Roman"/>
          <w:kern w:val="2"/>
          <w:sz w:val="72"/>
          <w:szCs w:val="72"/>
        </w:rPr>
      </w:pPr>
    </w:p>
    <w:p>
      <w:pPr>
        <w:pStyle w:val="18"/>
        <w:spacing w:beforeLines="0" w:before="93"/>
        <w:rPr>
          <w:rFonts w:ascii="Times New Roman" w:eastAsia="方正小标宋简体" w:hAnsi="Times New Roman"/>
          <w:kern w:val="2"/>
          <w:sz w:val="72"/>
          <w:szCs w:val="72"/>
        </w:rPr>
      </w:pP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2024年度中国人民政治协商会议</w:t>
      </w: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四川省攀枝花市委员会办公室决算</w:t>
      </w: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公开编制说明</w:t>
      </w:r>
    </w:p>
    <w:p>
      <w:pPr>
        <w:spacing w:line="600" w:lineRule="exact"/>
        <w:jc w:val="center"/>
        <w:outlineLvl w:val="0"/>
        <w:rPr>
          <w:rFonts w:eastAsia="方正小标宋简体"/>
          <w:sz w:val="72"/>
          <w:szCs w:val="72"/>
        </w:rPr>
      </w:pPr>
    </w:p>
    <w:p>
      <w:pPr>
        <w:pStyle w:val="27"/>
        <w:rPr>
          <w:rFonts w:ascii="Times New Roman" w:hAnsi="Times New Roman"/>
        </w:rPr>
        <w:sectPr>
          <w:headerReference w:type="default" r:id="rId2"/>
          <w:footerReference w:type="default" r:id="rId3"/>
          <w:pgSz w:w="11906" w:h="16838"/>
          <w:pgMar w:top="1440" w:right="1800" w:bottom="1440" w:left="1800" w:header="851" w:footer="992" w:gutter="0"/>
          <w:pgNumType w:fmt="numberInDash" w:start="1"/>
          <w:titlePg/>
          <w:docGrid w:type="lines" w:linePitch="312" w:charSpace="0"/>
        </w:sectPr>
      </w:pPr>
    </w:p>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bookmarkStart w:id="6" w:name="_Toc15377194"/>
      <w:bookmarkStart w:id="7" w:name="_Toc15377426"/>
      <w:bookmarkStart w:id="8" w:name="_Toc15378442"/>
      <w:bookmarkStart w:id="9" w:name="_Toc15396598"/>
      <w:bookmarkStart w:id="10" w:name="_Toc15396476"/>
      <w:bookmarkEnd w:id="0"/>
      <w:bookmarkEnd w:id="1"/>
      <w:bookmarkEnd w:id="2"/>
      <w:bookmarkEnd w:id="3"/>
      <w:bookmarkEnd w:id="4"/>
      <w:r>
        <w:rPr>
          <w:rFonts w:ascii="Times New Roman" w:eastAsia="方正小标宋简体" w:hAnsi="Times New Roman" w:hint="eastAsia"/>
          <w:kern w:val="2"/>
          <w:sz w:val="44"/>
          <w:szCs w:val="44"/>
        </w:rPr>
        <w:t>2024年度</w:t>
      </w:r>
      <w:bookmarkStart w:id="11" w:name="_Toc15306268"/>
      <w:bookmarkEnd w:id="5"/>
      <w:r>
        <w:rPr>
          <w:rFonts w:ascii="Times New Roman" w:eastAsia="方正小标宋简体" w:hAnsi="Times New Roman" w:hint="eastAsia"/>
          <w:kern w:val="2"/>
          <w:sz w:val="44"/>
          <w:szCs w:val="44"/>
        </w:rPr>
        <w:t>中国人民政治协商会议</w:t>
      </w: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四川省攀枝花市委员会办公室部门决算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eastAsia="黑体" w:hint="eastAsia"/>
          <w:sz w:val="48"/>
          <w:szCs w:val="48"/>
        </w:rPr>
        <w:t>目录</w:t>
      </w:r>
    </w:p>
    <w:p>
      <w:pPr>
        <w:pStyle w:val="23"/>
        <w:jc w:val="center"/>
        <w:rPr>
          <w:rFonts w:ascii="Times New Roman" w:eastAsia="仿宋_GB2312" w:cs="仿宋_GB2312" w:hAnsi="Times New Roman"/>
          <w:sz w:val="32"/>
          <w:szCs w:val="32"/>
        </w:rPr>
      </w:pPr>
      <w:r>
        <w:rPr>
          <w:rFonts w:ascii="Times New Roman" w:eastAsia="仿宋_GB2312" w:cs="仿宋_GB2312" w:hAnsi="Times New Roman" w:hint="eastAsia"/>
          <w:sz w:val="32"/>
          <w:szCs w:val="32"/>
        </w:rPr>
        <w:t>公开时间：202</w:t>
      </w:r>
      <w:r>
        <w:rPr>
          <w:rFonts w:ascii="Times New Roman" w:eastAsia="仿宋_GB2312" w:cs="仿宋_GB2312" w:hAnsi="Times New Roman"/>
          <w:sz w:val="32"/>
          <w:szCs w:val="32"/>
        </w:rPr>
        <w:t>5</w:t>
      </w:r>
      <w:r>
        <w:rPr>
          <w:rFonts w:ascii="Times New Roman" w:eastAsia="仿宋_GB2312" w:cs="仿宋_GB2312" w:hAnsi="Times New Roman" w:hint="eastAsia"/>
          <w:sz w:val="32"/>
          <w:szCs w:val="32"/>
        </w:rPr>
        <w:t>年9月16日</w:t>
      </w:r>
    </w:p>
    <w:p>
      <w:pPr>
        <w:pStyle w:val="23"/>
        <w:tabs>
          <w:tab w:val="right" w:leader="middleDot" w:pos="8296"/>
        </w:tabs>
        <w:spacing w:before="0" w:line="460" w:lineRule="exact"/>
        <w:rPr>
          <w:rFonts w:ascii="Calibri" w:eastAsia="宋体" w:cs="Arial" w:hAnsi="Calibri"/>
          <w:b w:val="0"/>
          <w:bCs w:val="0"/>
          <w:caps w:val="0"/>
          <w:smallCaps w:val="0"/>
          <w:sz w:val="30"/>
          <w:szCs w:val="30"/>
        </w:rPr>
      </w:pPr>
      <w:r>
        <w:fldChar w:fldCharType="begin"/>
      </w:r>
      <w:r>
        <w:instrText xml:space="preserve"> TOC \o "1-3" \h \z \u </w:instrText>
      </w:r>
      <w:r>
        <w:fldChar w:fldCharType="separate"/>
      </w:r>
      <w:r>
        <w:fldChar w:fldCharType="begin"/>
      </w:r>
      <w:r>
        <w:instrText>Hyperlink \l "_Toc208843943"</w:instrText>
      </w:r>
      <w:r>
        <w:fldChar w:fldCharType="separate"/>
      </w:r>
      <w:r>
        <w:rPr>
          <w:rFonts w:eastAsia="方正小标宋简体" w:cs="方正小标宋简体" w:hint="eastAsia"/>
          <w:sz w:val="30"/>
          <w:szCs w:val="30"/>
        </w:rPr>
        <w:t>第一部分部门概况</w:t>
      </w:r>
      <w:r>
        <w:rPr>
          <w:sz w:val="30"/>
          <w:szCs w:val="30"/>
        </w:rPr>
        <w:tab/>
      </w:r>
      <w:r>
        <w:rPr>
          <w:sz w:val="30"/>
          <w:szCs w:val="30"/>
        </w:rPr>
        <w:fldChar w:fldCharType="begin"/>
      </w:r>
      <w:r>
        <w:rPr>
          <w:sz w:val="30"/>
          <w:szCs w:val="30"/>
        </w:rPr>
        <w:instrText xml:space="preserve"> PAGEREF _Toc208843943 \h </w:instrText>
      </w:r>
      <w:r>
        <w:rPr>
          <w:sz w:val="30"/>
          <w:szCs w:val="30"/>
        </w:rPr>
        <w:fldChar w:fldCharType="separate"/>
      </w:r>
      <w:r>
        <w:rPr>
          <w:sz w:val="30"/>
          <w:szCs w:val="30"/>
        </w:rPr>
        <w:t>- 3 -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"_Toc208843944"</w:instrText>
      </w:r>
      <w:r>
        <w:fldChar w:fldCharType="separate"/>
      </w:r>
      <w:r>
        <w:rPr>
          <w:rFonts w:ascii="Times New Roman" w:eastAsia="黑体" w:hAnsi="Times New Roman" w:hint="eastAsia"/>
          <w:sz w:val="30"/>
          <w:szCs w:val="30"/>
        </w:rPr>
        <w:t>一、部门职责</w:t>
      </w:r>
      <w:r>
        <w:rPr>
          <w:sz w:val="30"/>
          <w:szCs w:val="30"/>
        </w:rPr>
        <w:tab/>
      </w:r>
      <w:r>
        <w:rPr>
          <w:sz w:val="30"/>
          <w:szCs w:val="30"/>
        </w:rPr>
        <w:fldChar w:fldCharType="begin"/>
      </w:r>
      <w:r>
        <w:rPr>
          <w:sz w:val="30"/>
          <w:szCs w:val="30"/>
        </w:rPr>
        <w:instrText xml:space="preserve"> PAGEREF _Toc208843944 \h </w:instrText>
      </w:r>
      <w:r>
        <w:rPr>
          <w:sz w:val="30"/>
          <w:szCs w:val="30"/>
        </w:rPr>
        <w:fldChar w:fldCharType="separate"/>
      </w:r>
      <w:r>
        <w:rPr>
          <w:sz w:val="30"/>
          <w:szCs w:val="30"/>
        </w:rPr>
        <w:t>- 3 -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"_Toc208843945"</w:instrText>
      </w:r>
      <w:r>
        <w:fldChar w:fldCharType="separate"/>
      </w:r>
      <w:r>
        <w:rPr>
          <w:rFonts w:ascii="Times New Roman" w:eastAsia="黑体" w:hAnsi="Times New Roman" w:hint="eastAsia"/>
          <w:sz w:val="30"/>
          <w:szCs w:val="30"/>
        </w:rPr>
        <w:t>二、机构设置</w:t>
      </w:r>
      <w:r>
        <w:rPr>
          <w:sz w:val="30"/>
          <w:szCs w:val="30"/>
        </w:rPr>
        <w:tab/>
      </w:r>
      <w:r>
        <w:rPr>
          <w:sz w:val="30"/>
          <w:szCs w:val="30"/>
        </w:rPr>
        <w:fldChar w:fldCharType="begin"/>
      </w:r>
      <w:r>
        <w:rPr>
          <w:sz w:val="30"/>
          <w:szCs w:val="30"/>
        </w:rPr>
        <w:instrText xml:space="preserve"> PAGEREF _Toc208843945 \h </w:instrText>
      </w:r>
      <w:r>
        <w:rPr>
          <w:sz w:val="30"/>
          <w:szCs w:val="30"/>
        </w:rPr>
        <w:fldChar w:fldCharType="separate"/>
      </w:r>
      <w:r>
        <w:rPr>
          <w:sz w:val="30"/>
          <w:szCs w:val="30"/>
        </w:rPr>
        <w:t>- 4 -</w:t>
      </w:r>
      <w:r>
        <w:rPr>
          <w:sz w:val="30"/>
          <w:szCs w:val="30"/>
        </w:rPr>
        <w:fldChar w:fldCharType="end"/>
      </w:r>
      <w:r>
        <w:fldChar w:fldCharType="end"/>
      </w:r>
    </w:p>
    <w:p>
      <w:pPr>
        <w:pStyle w:val="23"/>
        <w:tabs>
          <w:tab w:val="right" w:leader="middleDot" w:pos="8296"/>
        </w:tabs>
        <w:spacing w:before="0" w:line="460" w:lineRule="exact"/>
        <w:rPr>
          <w:rFonts w:ascii="Calibri" w:eastAsia="宋体" w:cs="Arial" w:hAnsi="Calibri"/>
          <w:b w:val="0"/>
          <w:bCs w:val="0"/>
          <w:caps w:val="0"/>
          <w:smallCaps w:val="0"/>
          <w:sz w:val="30"/>
          <w:szCs w:val="30"/>
        </w:rPr>
      </w:pPr>
      <w:r>
        <w:fldChar w:fldCharType="begin"/>
      </w:r>
      <w:r>
        <w:instrText>Hyperlink \l "_Toc208843946"</w:instrText>
      </w:r>
      <w:r>
        <w:fldChar w:fldCharType="separate"/>
      </w:r>
      <w:r>
        <w:rPr>
          <w:rFonts w:eastAsia="方正小标宋简体" w:cs="方正小标宋简体" w:hint="eastAsia"/>
          <w:sz w:val="30"/>
          <w:szCs w:val="30"/>
        </w:rPr>
        <w:t>第二部分</w:t>
      </w:r>
      <w:r>
        <w:rPr>
          <w:rFonts w:eastAsia="方正小标宋简体" w:cs="方正小标宋简体"/>
          <w:sz w:val="30"/>
          <w:szCs w:val="30"/>
        </w:rPr>
        <w:t>2024</w:t>
      </w:r>
      <w:r>
        <w:rPr>
          <w:rFonts w:eastAsia="方正小标宋简体" w:cs="方正小标宋简体" w:hint="eastAsia"/>
          <w:sz w:val="30"/>
          <w:szCs w:val="30"/>
        </w:rPr>
        <w:t>年度部门决算情况说明</w:t>
      </w:r>
      <w:r>
        <w:rPr>
          <w:sz w:val="30"/>
          <w:szCs w:val="30"/>
        </w:rPr>
        <w:tab/>
      </w:r>
      <w:r>
        <w:rPr>
          <w:sz w:val="30"/>
          <w:szCs w:val="30"/>
        </w:rPr>
        <w:fldChar w:fldCharType="begin"/>
      </w:r>
      <w:r>
        <w:rPr>
          <w:sz w:val="30"/>
          <w:szCs w:val="30"/>
        </w:rPr>
        <w:instrText xml:space="preserve"> PAGEREF _Toc208843946 \h </w:instrText>
      </w:r>
      <w:r>
        <w:rPr>
          <w:sz w:val="30"/>
          <w:szCs w:val="30"/>
        </w:rPr>
        <w:fldChar w:fldCharType="separate"/>
      </w:r>
      <w:r>
        <w:rPr>
          <w:sz w:val="30"/>
          <w:szCs w:val="30"/>
        </w:rPr>
        <w:t>- 5 -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"_Toc208843947"</w:instrText>
      </w:r>
      <w:r>
        <w:fldChar w:fldCharType="separate"/>
      </w:r>
      <w:r>
        <w:rPr>
          <w:rFonts w:eastAsia="黑体" w:hint="eastAsia"/>
          <w:sz w:val="30"/>
          <w:szCs w:val="30"/>
        </w:rPr>
        <w:t>一、收</w:t>
      </w:r>
      <w:r>
        <w:rPr>
          <w:rFonts w:eastAsia="黑体" w:cs="Times New Roman" w:hint="eastAsia"/>
          <w:sz w:val="30"/>
          <w:szCs w:val="30"/>
        </w:rPr>
        <w:t>入支出决算总体情况说明</w:t>
      </w:r>
      <w:r>
        <w:rPr>
          <w:sz w:val="30"/>
          <w:szCs w:val="30"/>
        </w:rPr>
        <w:tab/>
      </w:r>
      <w:r>
        <w:rPr>
          <w:sz w:val="30"/>
          <w:szCs w:val="30"/>
        </w:rPr>
        <w:fldChar w:fldCharType="begin"/>
      </w:r>
      <w:r>
        <w:rPr>
          <w:sz w:val="30"/>
          <w:szCs w:val="30"/>
        </w:rPr>
        <w:instrText xml:space="preserve"> PAGEREF _Toc208843947 \h </w:instrText>
      </w:r>
      <w:r>
        <w:rPr>
          <w:sz w:val="30"/>
          <w:szCs w:val="30"/>
        </w:rPr>
        <w:fldChar w:fldCharType="separate"/>
      </w:r>
      <w:r>
        <w:rPr>
          <w:sz w:val="30"/>
          <w:szCs w:val="30"/>
        </w:rPr>
        <w:t>- 5 -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"_Toc208843948"</w:instrText>
      </w:r>
      <w:r>
        <w:fldChar w:fldCharType="separate"/>
      </w:r>
      <w:r>
        <w:rPr>
          <w:rFonts w:eastAsia="黑体" w:hint="eastAsia"/>
          <w:sz w:val="30"/>
          <w:szCs w:val="30"/>
        </w:rPr>
        <w:t>二、收入决算情况说明</w:t>
      </w:r>
      <w:r>
        <w:rPr>
          <w:sz w:val="30"/>
          <w:szCs w:val="30"/>
        </w:rPr>
        <w:tab/>
      </w:r>
      <w:r>
        <w:rPr>
          <w:sz w:val="30"/>
          <w:szCs w:val="30"/>
        </w:rPr>
        <w:fldChar w:fldCharType="begin"/>
      </w:r>
      <w:r>
        <w:rPr>
          <w:sz w:val="30"/>
          <w:szCs w:val="30"/>
        </w:rPr>
        <w:instrText xml:space="preserve"> PAGEREF _Toc208843948 \h </w:instrText>
      </w:r>
      <w:r>
        <w:rPr>
          <w:sz w:val="30"/>
          <w:szCs w:val="30"/>
        </w:rPr>
        <w:fldChar w:fldCharType="separate"/>
      </w:r>
      <w:r>
        <w:rPr>
          <w:sz w:val="30"/>
          <w:szCs w:val="30"/>
        </w:rPr>
        <w:t>- 5 -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"_Toc208843949"</w:instrText>
      </w:r>
      <w:r>
        <w:fldChar w:fldCharType="separate"/>
      </w:r>
      <w:r>
        <w:rPr>
          <w:rFonts w:eastAsia="黑体" w:hint="eastAsia"/>
          <w:sz w:val="30"/>
          <w:szCs w:val="30"/>
        </w:rPr>
        <w:t>三、支</w:t>
      </w:r>
      <w:r>
        <w:rPr>
          <w:rFonts w:eastAsia="黑体" w:cs="Times New Roman" w:hint="eastAsia"/>
          <w:sz w:val="30"/>
          <w:szCs w:val="30"/>
        </w:rPr>
        <w:t>出决算情况说明</w:t>
      </w:r>
      <w:r>
        <w:rPr>
          <w:sz w:val="30"/>
          <w:szCs w:val="30"/>
        </w:rPr>
        <w:tab/>
      </w:r>
      <w:r>
        <w:rPr>
          <w:sz w:val="30"/>
          <w:szCs w:val="30"/>
        </w:rPr>
        <w:fldChar w:fldCharType="begin"/>
      </w:r>
      <w:r>
        <w:rPr>
          <w:sz w:val="30"/>
          <w:szCs w:val="30"/>
        </w:rPr>
        <w:instrText xml:space="preserve"> PAGEREF _Toc208843949 \h </w:instrText>
      </w:r>
      <w:r>
        <w:rPr>
          <w:sz w:val="30"/>
          <w:szCs w:val="30"/>
        </w:rPr>
        <w:fldChar w:fldCharType="separate"/>
      </w:r>
      <w:r>
        <w:rPr>
          <w:sz w:val="30"/>
          <w:szCs w:val="30"/>
        </w:rPr>
        <w:t>- 6 -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"_Toc208843950"</w:instrText>
      </w:r>
      <w:r>
        <w:fldChar w:fldCharType="separate"/>
      </w:r>
      <w:r>
        <w:rPr>
          <w:rFonts w:eastAsia="黑体" w:hint="eastAsia"/>
          <w:sz w:val="30"/>
          <w:szCs w:val="30"/>
        </w:rPr>
        <w:t>四、财</w:t>
      </w:r>
      <w:r>
        <w:rPr>
          <w:rFonts w:eastAsia="黑体" w:cs="Times New Roman" w:hint="eastAsia"/>
          <w:sz w:val="30"/>
          <w:szCs w:val="30"/>
        </w:rPr>
        <w:t>政拨款收入支出决算总体情况说明</w:t>
      </w:r>
      <w:r>
        <w:rPr>
          <w:sz w:val="30"/>
          <w:szCs w:val="30"/>
        </w:rPr>
        <w:tab/>
      </w:r>
      <w:r>
        <w:rPr>
          <w:sz w:val="30"/>
          <w:szCs w:val="30"/>
        </w:rPr>
        <w:fldChar w:fldCharType="begin"/>
      </w:r>
      <w:r>
        <w:rPr>
          <w:sz w:val="30"/>
          <w:szCs w:val="30"/>
        </w:rPr>
        <w:instrText xml:space="preserve"> PAGEREF _Toc208843950 \h </w:instrText>
      </w:r>
      <w:r>
        <w:rPr>
          <w:sz w:val="30"/>
          <w:szCs w:val="30"/>
        </w:rPr>
        <w:fldChar w:fldCharType="separate"/>
      </w:r>
      <w:r>
        <w:rPr>
          <w:sz w:val="30"/>
          <w:szCs w:val="30"/>
        </w:rPr>
        <w:t>- 7 -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"_Toc208843951"</w:instrText>
      </w:r>
      <w:r>
        <w:fldChar w:fldCharType="separate"/>
      </w:r>
      <w:r>
        <w:rPr>
          <w:rFonts w:eastAsia="黑体" w:hint="eastAsia"/>
          <w:sz w:val="30"/>
          <w:szCs w:val="30"/>
        </w:rPr>
        <w:t>五、一</w:t>
      </w:r>
      <w:r>
        <w:rPr>
          <w:rFonts w:eastAsia="黑体" w:cs="Times New Roman" w:hint="eastAsia"/>
          <w:sz w:val="30"/>
          <w:szCs w:val="30"/>
        </w:rPr>
        <w:t>般公共预算财政拨款支出决算情况说明</w:t>
      </w:r>
      <w:r>
        <w:rPr>
          <w:sz w:val="30"/>
          <w:szCs w:val="30"/>
        </w:rPr>
        <w:tab/>
      </w:r>
      <w:r>
        <w:rPr>
          <w:sz w:val="30"/>
          <w:szCs w:val="30"/>
        </w:rPr>
        <w:fldChar w:fldCharType="begin"/>
      </w:r>
      <w:r>
        <w:rPr>
          <w:sz w:val="30"/>
          <w:szCs w:val="30"/>
        </w:rPr>
        <w:instrText xml:space="preserve"> PAGEREF _Toc208843951 \h </w:instrText>
      </w:r>
      <w:r>
        <w:rPr>
          <w:sz w:val="30"/>
          <w:szCs w:val="30"/>
        </w:rPr>
        <w:fldChar w:fldCharType="separate"/>
      </w:r>
      <w:r>
        <w:rPr>
          <w:sz w:val="30"/>
          <w:szCs w:val="30"/>
        </w:rPr>
        <w:t>- 7 -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"_Toc208843952"</w:instrText>
      </w:r>
      <w:r>
        <w:fldChar w:fldCharType="separate"/>
      </w:r>
      <w:r>
        <w:rPr>
          <w:rFonts w:eastAsia="楷体_GB2312" w:cs="楷体_GB2312" w:hint="eastAsia"/>
          <w:b/>
          <w:sz w:val="30"/>
          <w:szCs w:val="30"/>
        </w:rPr>
        <w:t>（一）一般公共预算财政拨款支出决算总体情况</w:t>
      </w:r>
      <w:r>
        <w:rPr>
          <w:sz w:val="30"/>
          <w:szCs w:val="30"/>
        </w:rPr>
        <w:tab/>
      </w:r>
      <w:r>
        <w:rPr>
          <w:sz w:val="30"/>
          <w:szCs w:val="30"/>
        </w:rPr>
        <w:fldChar w:fldCharType="begin"/>
      </w:r>
      <w:r>
        <w:rPr>
          <w:sz w:val="30"/>
          <w:szCs w:val="30"/>
        </w:rPr>
        <w:instrText xml:space="preserve"> PAGEREF _Toc208843952 \h </w:instrText>
      </w:r>
      <w:r>
        <w:rPr>
          <w:sz w:val="30"/>
          <w:szCs w:val="30"/>
        </w:rPr>
        <w:fldChar w:fldCharType="separate"/>
      </w:r>
      <w:r>
        <w:rPr>
          <w:sz w:val="30"/>
          <w:szCs w:val="30"/>
        </w:rPr>
        <w:t>- 7 -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"_Toc208843953"</w:instrText>
      </w:r>
      <w:r>
        <w:fldChar w:fldCharType="separate"/>
      </w:r>
      <w:r>
        <w:rPr>
          <w:rFonts w:eastAsia="楷体_GB2312" w:cs="楷体_GB2312" w:hint="eastAsia"/>
          <w:b/>
          <w:sz w:val="30"/>
          <w:szCs w:val="30"/>
        </w:rPr>
        <w:t>（二）一般公共预算财政拨款支出决算结构情况</w:t>
      </w:r>
      <w:r>
        <w:rPr>
          <w:sz w:val="30"/>
          <w:szCs w:val="30"/>
        </w:rPr>
        <w:tab/>
      </w:r>
      <w:r>
        <w:rPr>
          <w:sz w:val="30"/>
          <w:szCs w:val="30"/>
        </w:rPr>
        <w:fldChar w:fldCharType="begin"/>
      </w:r>
      <w:r>
        <w:rPr>
          <w:sz w:val="30"/>
          <w:szCs w:val="30"/>
        </w:rPr>
        <w:instrText xml:space="preserve"> PAGEREF _Toc208843953 \h </w:instrText>
      </w:r>
      <w:r>
        <w:rPr>
          <w:sz w:val="30"/>
          <w:szCs w:val="30"/>
        </w:rPr>
        <w:fldChar w:fldCharType="separate"/>
      </w:r>
      <w:r>
        <w:rPr>
          <w:sz w:val="30"/>
          <w:szCs w:val="30"/>
        </w:rPr>
        <w:t>- 8 -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"_Toc208843954"</w:instrText>
      </w:r>
      <w:r>
        <w:fldChar w:fldCharType="separate"/>
      </w:r>
      <w:r>
        <w:rPr>
          <w:rFonts w:eastAsia="楷体_GB2312" w:cs="楷体_GB2312" w:hint="eastAsia"/>
          <w:b/>
          <w:sz w:val="30"/>
          <w:szCs w:val="30"/>
        </w:rPr>
        <w:t>（三）一般公共预算财政拨款支出决算具体情况</w:t>
      </w:r>
      <w:r>
        <w:rPr>
          <w:sz w:val="30"/>
          <w:szCs w:val="30"/>
        </w:rPr>
        <w:tab/>
      </w:r>
      <w:r>
        <w:rPr>
          <w:sz w:val="30"/>
          <w:szCs w:val="30"/>
        </w:rPr>
        <w:fldChar w:fldCharType="begin"/>
      </w:r>
      <w:r>
        <w:rPr>
          <w:sz w:val="30"/>
          <w:szCs w:val="30"/>
        </w:rPr>
        <w:instrText xml:space="preserve"> PAGEREF _Toc208843954 \h </w:instrText>
      </w:r>
      <w:r>
        <w:rPr>
          <w:sz w:val="30"/>
          <w:szCs w:val="30"/>
        </w:rPr>
        <w:fldChar w:fldCharType="separate"/>
      </w:r>
      <w:r>
        <w:rPr>
          <w:sz w:val="30"/>
          <w:szCs w:val="30"/>
        </w:rPr>
        <w:t>- 9 -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"_Toc208843955"</w:instrText>
      </w:r>
      <w:r>
        <w:fldChar w:fldCharType="separate"/>
      </w:r>
      <w:r>
        <w:rPr>
          <w:rFonts w:eastAsia="黑体" w:hint="eastAsia"/>
          <w:sz w:val="30"/>
          <w:szCs w:val="30"/>
        </w:rPr>
        <w:t>六、一</w:t>
      </w:r>
      <w:r>
        <w:rPr>
          <w:rFonts w:eastAsia="黑体" w:cs="Times New Roman" w:hint="eastAsia"/>
          <w:sz w:val="30"/>
          <w:szCs w:val="30"/>
        </w:rPr>
        <w:t>般公共预算财政拨款基本支出决算情况说明</w:t>
      </w:r>
      <w:r>
        <w:rPr>
          <w:sz w:val="30"/>
          <w:szCs w:val="30"/>
        </w:rPr>
        <w:tab/>
      </w:r>
      <w:r>
        <w:rPr>
          <w:sz w:val="30"/>
          <w:szCs w:val="30"/>
        </w:rPr>
        <w:fldChar w:fldCharType="begin"/>
      </w:r>
      <w:r>
        <w:rPr>
          <w:sz w:val="30"/>
          <w:szCs w:val="30"/>
        </w:rPr>
        <w:instrText xml:space="preserve"> PAGEREF _Toc208843955 \h </w:instrText>
      </w:r>
      <w:r>
        <w:rPr>
          <w:sz w:val="30"/>
          <w:szCs w:val="30"/>
        </w:rPr>
        <w:fldChar w:fldCharType="separate"/>
      </w:r>
      <w:r>
        <w:rPr>
          <w:sz w:val="30"/>
          <w:szCs w:val="30"/>
        </w:rPr>
        <w:t>- 10 -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"_Toc208843956"</w:instrText>
      </w:r>
      <w:r>
        <w:fldChar w:fldCharType="separate"/>
      </w:r>
      <w:r>
        <w:rPr>
          <w:rFonts w:eastAsia="仿宋_GB2312" w:hint="eastAsia"/>
          <w:sz w:val="30"/>
          <w:szCs w:val="30"/>
        </w:rPr>
        <w:t>七、财政拨款</w:t>
      </w:r>
      <w:r>
        <w:rPr>
          <w:rFonts w:eastAsia="仿宋_GB2312"/>
          <w:sz w:val="30"/>
          <w:szCs w:val="30"/>
        </w:rPr>
        <w:t>“</w:t>
      </w:r>
      <w:r>
        <w:rPr>
          <w:rFonts w:eastAsia="仿宋_GB2312" w:hint="eastAsia"/>
          <w:sz w:val="30"/>
          <w:szCs w:val="30"/>
        </w:rPr>
        <w:t>三公</w:t>
      </w:r>
      <w:r>
        <w:rPr>
          <w:rFonts w:eastAsia="仿宋_GB2312"/>
          <w:sz w:val="30"/>
          <w:szCs w:val="30"/>
        </w:rPr>
        <w:t>”</w:t>
      </w:r>
      <w:r>
        <w:rPr>
          <w:rFonts w:eastAsia="仿宋_GB2312" w:hint="eastAsia"/>
          <w:sz w:val="30"/>
          <w:szCs w:val="30"/>
        </w:rPr>
        <w:t>经费支出决算情况说明</w:t>
      </w:r>
      <w:r>
        <w:rPr>
          <w:sz w:val="30"/>
          <w:szCs w:val="30"/>
        </w:rPr>
        <w:tab/>
      </w:r>
      <w:r>
        <w:rPr>
          <w:sz w:val="30"/>
          <w:szCs w:val="30"/>
        </w:rPr>
        <w:fldChar w:fldCharType="begin"/>
      </w:r>
      <w:r>
        <w:rPr>
          <w:sz w:val="30"/>
          <w:szCs w:val="30"/>
        </w:rPr>
        <w:instrText xml:space="preserve"> PAGEREF _Toc208843956 \h </w:instrText>
      </w:r>
      <w:r>
        <w:rPr>
          <w:sz w:val="30"/>
          <w:szCs w:val="30"/>
        </w:rPr>
        <w:fldChar w:fldCharType="separate"/>
      </w:r>
      <w:r>
        <w:rPr>
          <w:sz w:val="30"/>
          <w:szCs w:val="30"/>
        </w:rPr>
        <w:t>- 11 -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"_Toc208843957"</w:instrText>
      </w:r>
      <w:r>
        <w:fldChar w:fldCharType="separate"/>
      </w:r>
      <w:r>
        <w:rPr>
          <w:rFonts w:eastAsia="仿宋_GB2312" w:hint="eastAsia"/>
          <w:b/>
          <w:sz w:val="30"/>
          <w:szCs w:val="30"/>
        </w:rPr>
        <w:t>（一）</w:t>
      </w:r>
      <w:r>
        <w:rPr>
          <w:rFonts w:eastAsia="仿宋_GB2312"/>
          <w:b/>
          <w:sz w:val="30"/>
          <w:szCs w:val="30"/>
        </w:rPr>
        <w:t>“</w:t>
      </w:r>
      <w:r>
        <w:rPr>
          <w:rFonts w:eastAsia="仿宋_GB2312" w:hint="eastAsia"/>
          <w:b/>
          <w:sz w:val="30"/>
          <w:szCs w:val="30"/>
        </w:rPr>
        <w:t>三公</w:t>
      </w:r>
      <w:r>
        <w:rPr>
          <w:rFonts w:eastAsia="仿宋_GB2312"/>
          <w:b/>
          <w:sz w:val="30"/>
          <w:szCs w:val="30"/>
        </w:rPr>
        <w:t>”</w:t>
      </w:r>
      <w:r>
        <w:rPr>
          <w:rFonts w:eastAsia="仿宋_GB2312" w:hint="eastAsia"/>
          <w:b/>
          <w:sz w:val="30"/>
          <w:szCs w:val="30"/>
        </w:rPr>
        <w:t>经费财政拨款支出决算总体情况说明</w:t>
      </w:r>
      <w:r>
        <w:rPr>
          <w:sz w:val="30"/>
          <w:szCs w:val="30"/>
        </w:rPr>
        <w:tab/>
      </w:r>
      <w:r>
        <w:rPr>
          <w:sz w:val="30"/>
          <w:szCs w:val="30"/>
        </w:rPr>
        <w:fldChar w:fldCharType="begin"/>
      </w:r>
      <w:r>
        <w:rPr>
          <w:sz w:val="30"/>
          <w:szCs w:val="30"/>
        </w:rPr>
        <w:instrText xml:space="preserve"> PAGEREF _Toc208843957 \h </w:instrText>
      </w:r>
      <w:r>
        <w:rPr>
          <w:sz w:val="30"/>
          <w:szCs w:val="30"/>
        </w:rPr>
        <w:fldChar w:fldCharType="separate"/>
      </w:r>
      <w:r>
        <w:rPr>
          <w:sz w:val="30"/>
          <w:szCs w:val="30"/>
        </w:rPr>
        <w:t>- 11 -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"_Toc208843958"</w:instrText>
      </w:r>
      <w:r>
        <w:fldChar w:fldCharType="separate"/>
      </w:r>
      <w:r>
        <w:rPr>
          <w:rFonts w:eastAsia="仿宋_GB2312" w:hint="eastAsia"/>
          <w:b/>
          <w:sz w:val="30"/>
          <w:szCs w:val="30"/>
        </w:rPr>
        <w:t>（二）</w:t>
      </w:r>
      <w:r>
        <w:rPr>
          <w:rFonts w:eastAsia="仿宋_GB2312"/>
          <w:b/>
          <w:sz w:val="30"/>
          <w:szCs w:val="30"/>
        </w:rPr>
        <w:t>“</w:t>
      </w:r>
      <w:r>
        <w:rPr>
          <w:rFonts w:eastAsia="仿宋_GB2312" w:hint="eastAsia"/>
          <w:b/>
          <w:sz w:val="30"/>
          <w:szCs w:val="30"/>
        </w:rPr>
        <w:t>三公</w:t>
      </w:r>
      <w:r>
        <w:rPr>
          <w:rFonts w:eastAsia="仿宋_GB2312"/>
          <w:b/>
          <w:sz w:val="30"/>
          <w:szCs w:val="30"/>
        </w:rPr>
        <w:t>”</w:t>
      </w:r>
      <w:r>
        <w:rPr>
          <w:rFonts w:eastAsia="仿宋_GB2312" w:hint="eastAsia"/>
          <w:b/>
          <w:sz w:val="30"/>
          <w:szCs w:val="30"/>
        </w:rPr>
        <w:t>经费财政拨款支出决算具体情况说明</w:t>
      </w:r>
      <w:r>
        <w:rPr>
          <w:sz w:val="30"/>
          <w:szCs w:val="30"/>
        </w:rPr>
        <w:tab/>
      </w:r>
      <w:r>
        <w:rPr>
          <w:sz w:val="30"/>
          <w:szCs w:val="30"/>
        </w:rPr>
        <w:fldChar w:fldCharType="begin"/>
      </w:r>
      <w:r>
        <w:rPr>
          <w:sz w:val="30"/>
          <w:szCs w:val="30"/>
        </w:rPr>
        <w:instrText xml:space="preserve"> PAGEREF _Toc208843958 \h </w:instrText>
      </w:r>
      <w:r>
        <w:rPr>
          <w:sz w:val="30"/>
          <w:szCs w:val="30"/>
        </w:rPr>
        <w:fldChar w:fldCharType="separate"/>
      </w:r>
      <w:r>
        <w:rPr>
          <w:sz w:val="30"/>
          <w:szCs w:val="30"/>
        </w:rPr>
        <w:t>- 11 -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"_Toc208843959"</w:instrText>
      </w:r>
      <w:r>
        <w:fldChar w:fldCharType="separate"/>
      </w:r>
      <w:r>
        <w:rPr>
          <w:rFonts w:eastAsia="仿宋_GB2312" w:hint="eastAsia"/>
          <w:sz w:val="30"/>
          <w:szCs w:val="30"/>
        </w:rPr>
        <w:t>八、政府性基金预算支出决算情况说明</w:t>
      </w:r>
      <w:r>
        <w:rPr>
          <w:sz w:val="30"/>
          <w:szCs w:val="30"/>
        </w:rPr>
        <w:tab/>
      </w:r>
      <w:r>
        <w:rPr>
          <w:sz w:val="30"/>
          <w:szCs w:val="30"/>
        </w:rPr>
        <w:fldChar w:fldCharType="begin"/>
      </w:r>
      <w:r>
        <w:rPr>
          <w:sz w:val="30"/>
          <w:szCs w:val="30"/>
        </w:rPr>
        <w:instrText xml:space="preserve"> PAGEREF _Toc208843959 \h </w:instrText>
      </w:r>
      <w:r>
        <w:rPr>
          <w:sz w:val="30"/>
          <w:szCs w:val="30"/>
        </w:rPr>
        <w:fldChar w:fldCharType="separate"/>
      </w:r>
      <w:r>
        <w:rPr>
          <w:sz w:val="30"/>
          <w:szCs w:val="30"/>
        </w:rPr>
        <w:t>- 13 -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"_Toc208843960"</w:instrText>
      </w:r>
      <w:r>
        <w:fldChar w:fldCharType="separate"/>
      </w:r>
      <w:r>
        <w:rPr>
          <w:rFonts w:eastAsia="仿宋_GB2312" w:hint="eastAsia"/>
          <w:sz w:val="30"/>
          <w:szCs w:val="30"/>
        </w:rPr>
        <w:t>九、国有资本经营预算支出决算情况说明</w:t>
      </w:r>
      <w:r>
        <w:rPr>
          <w:sz w:val="30"/>
          <w:szCs w:val="30"/>
        </w:rPr>
        <w:tab/>
      </w:r>
      <w:r>
        <w:rPr>
          <w:sz w:val="30"/>
          <w:szCs w:val="30"/>
        </w:rPr>
        <w:fldChar w:fldCharType="begin"/>
      </w:r>
      <w:r>
        <w:rPr>
          <w:sz w:val="30"/>
          <w:szCs w:val="30"/>
        </w:rPr>
        <w:instrText xml:space="preserve"> PAGEREF _Toc208843960 \h </w:instrText>
      </w:r>
      <w:r>
        <w:rPr>
          <w:sz w:val="30"/>
          <w:szCs w:val="30"/>
        </w:rPr>
        <w:fldChar w:fldCharType="separate"/>
      </w:r>
      <w:r>
        <w:rPr>
          <w:sz w:val="30"/>
          <w:szCs w:val="30"/>
        </w:rPr>
        <w:t>- 13 -</w:t>
      </w:r>
      <w:r>
        <w:rPr>
          <w:sz w:val="30"/>
          <w:szCs w:val="30"/>
        </w:rPr>
        <w:fldChar w:fldCharType="end"/>
      </w:r>
      <w:r>
        <w:fldChar w:fldCharType="end"/>
      </w:r>
    </w:p>
    <w:p>
      <w:pPr>
        <w:pStyle w:val="24"/>
        <w:tabs>
          <w:tab w:val="right" w:leader="middleDot" w:pos="8296"/>
        </w:tabs>
        <w:spacing w:before="0" w:line="460" w:lineRule="exact"/>
        <w:rPr>
          <w:rFonts w:eastAsia="宋体" w:cs="Arial"/>
          <w:b w:val="0"/>
          <w:bCs w:val="0"/>
          <w:sz w:val="30"/>
          <w:szCs w:val="30"/>
        </w:rPr>
      </w:pPr>
      <w:r>
        <w:fldChar w:fldCharType="begin"/>
      </w:r>
      <w:r>
        <w:instrText>Hyperlink \l "_Toc208843961"</w:instrText>
      </w:r>
      <w:r>
        <w:fldChar w:fldCharType="separate"/>
      </w:r>
      <w:r>
        <w:rPr>
          <w:rFonts w:eastAsia="仿宋_GB2312" w:hint="eastAsia"/>
          <w:sz w:val="30"/>
          <w:szCs w:val="30"/>
        </w:rPr>
        <w:t>十、其他重要事项的情况说明</w:t>
      </w:r>
      <w:r>
        <w:rPr>
          <w:sz w:val="30"/>
          <w:szCs w:val="30"/>
        </w:rPr>
        <w:tab/>
      </w:r>
      <w:r>
        <w:rPr>
          <w:sz w:val="30"/>
          <w:szCs w:val="30"/>
        </w:rPr>
        <w:fldChar w:fldCharType="begin"/>
      </w:r>
      <w:r>
        <w:rPr>
          <w:sz w:val="30"/>
          <w:szCs w:val="30"/>
        </w:rPr>
        <w:instrText xml:space="preserve"> PAGEREF _Toc208843961 \h </w:instrText>
      </w:r>
      <w:r>
        <w:rPr>
          <w:sz w:val="30"/>
          <w:szCs w:val="30"/>
        </w:rPr>
        <w:fldChar w:fldCharType="separate"/>
      </w:r>
      <w:r>
        <w:rPr>
          <w:sz w:val="30"/>
          <w:szCs w:val="30"/>
        </w:rPr>
        <w:t>- 14 -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"_Toc208843962"</w:instrText>
      </w:r>
      <w:r>
        <w:fldChar w:fldCharType="separate"/>
      </w:r>
      <w:r>
        <w:rPr>
          <w:rFonts w:eastAsia="仿宋_GB2312" w:hint="eastAsia"/>
          <w:b/>
          <w:sz w:val="30"/>
          <w:szCs w:val="30"/>
        </w:rPr>
        <w:t>（一）机关运行经费支出情况</w:t>
      </w:r>
      <w:r>
        <w:rPr>
          <w:sz w:val="30"/>
          <w:szCs w:val="30"/>
        </w:rPr>
        <w:tab/>
      </w:r>
      <w:r>
        <w:rPr>
          <w:sz w:val="30"/>
          <w:szCs w:val="30"/>
        </w:rPr>
        <w:fldChar w:fldCharType="begin"/>
      </w:r>
      <w:r>
        <w:rPr>
          <w:sz w:val="30"/>
          <w:szCs w:val="30"/>
        </w:rPr>
        <w:instrText xml:space="preserve"> PAGEREF _Toc208843962 \h </w:instrText>
      </w:r>
      <w:r>
        <w:rPr>
          <w:sz w:val="30"/>
          <w:szCs w:val="30"/>
        </w:rPr>
        <w:fldChar w:fldCharType="separate"/>
      </w:r>
      <w:r>
        <w:rPr>
          <w:sz w:val="30"/>
          <w:szCs w:val="30"/>
        </w:rPr>
        <w:t>- 14 -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"_Toc208843963"</w:instrText>
      </w:r>
      <w:r>
        <w:fldChar w:fldCharType="separate"/>
      </w:r>
      <w:r>
        <w:rPr>
          <w:rFonts w:eastAsia="仿宋_GB2312" w:hint="eastAsia"/>
          <w:b/>
          <w:sz w:val="30"/>
          <w:szCs w:val="30"/>
        </w:rPr>
        <w:t>（二）政府采购支出情况</w:t>
      </w:r>
      <w:r>
        <w:rPr>
          <w:sz w:val="30"/>
          <w:szCs w:val="30"/>
        </w:rPr>
        <w:tab/>
      </w:r>
      <w:r>
        <w:rPr>
          <w:sz w:val="30"/>
          <w:szCs w:val="30"/>
        </w:rPr>
        <w:fldChar w:fldCharType="begin"/>
      </w:r>
      <w:r>
        <w:rPr>
          <w:sz w:val="30"/>
          <w:szCs w:val="30"/>
        </w:rPr>
        <w:instrText xml:space="preserve"> PAGEREF _Toc208843963 \h </w:instrText>
      </w:r>
      <w:r>
        <w:rPr>
          <w:sz w:val="30"/>
          <w:szCs w:val="30"/>
        </w:rPr>
        <w:fldChar w:fldCharType="separate"/>
      </w:r>
      <w:r>
        <w:rPr>
          <w:sz w:val="30"/>
          <w:szCs w:val="30"/>
        </w:rPr>
        <w:t>- 14 -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"_Toc208843964"</w:instrText>
      </w:r>
      <w:r>
        <w:fldChar w:fldCharType="separate"/>
      </w:r>
      <w:r>
        <w:rPr>
          <w:rFonts w:eastAsia="楷体_GB2312" w:cs="楷体_GB2312" w:hint="eastAsia"/>
          <w:b/>
          <w:sz w:val="30"/>
          <w:szCs w:val="30"/>
        </w:rPr>
        <w:t>（三）国有资产占有使用情况</w:t>
      </w:r>
      <w:r>
        <w:rPr>
          <w:sz w:val="30"/>
          <w:szCs w:val="30"/>
        </w:rPr>
        <w:tab/>
      </w:r>
      <w:r>
        <w:rPr>
          <w:sz w:val="30"/>
          <w:szCs w:val="30"/>
        </w:rPr>
        <w:fldChar w:fldCharType="begin"/>
      </w:r>
      <w:r>
        <w:rPr>
          <w:sz w:val="30"/>
          <w:szCs w:val="30"/>
        </w:rPr>
        <w:instrText xml:space="preserve"> PAGEREF _Toc208843964 \h </w:instrText>
      </w:r>
      <w:r>
        <w:rPr>
          <w:sz w:val="30"/>
          <w:szCs w:val="30"/>
        </w:rPr>
        <w:fldChar w:fldCharType="separate"/>
      </w:r>
      <w:r>
        <w:rPr>
          <w:sz w:val="30"/>
          <w:szCs w:val="30"/>
        </w:rPr>
        <w:t>- 14 -</w:t>
      </w:r>
      <w:r>
        <w:rPr>
          <w:sz w:val="30"/>
          <w:szCs w:val="30"/>
        </w:rPr>
        <w:fldChar w:fldCharType="end"/>
      </w:r>
      <w:r>
        <w:fldChar w:fldCharType="end"/>
      </w:r>
    </w:p>
    <w:p>
      <w:pPr>
        <w:pStyle w:val="19"/>
        <w:tabs>
          <w:tab w:val="right" w:leader="middleDot" w:pos="8296"/>
        </w:tabs>
        <w:spacing w:line="460" w:lineRule="exact"/>
        <w:rPr>
          <w:rFonts w:eastAsia="宋体" w:cs="Arial"/>
          <w:sz w:val="30"/>
          <w:szCs w:val="30"/>
        </w:rPr>
      </w:pPr>
      <w:r>
        <w:fldChar w:fldCharType="begin"/>
      </w:r>
      <w:r>
        <w:instrText>Hyperlink \l "_Toc208843965"</w:instrText>
      </w:r>
      <w:r>
        <w:fldChar w:fldCharType="separate"/>
      </w:r>
      <w:r>
        <w:rPr>
          <w:rFonts w:eastAsia="楷体_GB2312" w:hint="eastAsia"/>
          <w:b/>
          <w:sz w:val="30"/>
          <w:szCs w:val="30"/>
        </w:rPr>
        <w:t>（四）预算绩效管理情况</w:t>
      </w:r>
      <w:r>
        <w:rPr>
          <w:sz w:val="30"/>
          <w:szCs w:val="30"/>
        </w:rPr>
        <w:tab/>
      </w:r>
      <w:r>
        <w:rPr>
          <w:sz w:val="30"/>
          <w:szCs w:val="30"/>
        </w:rPr>
        <w:fldChar w:fldCharType="begin"/>
      </w:r>
      <w:r>
        <w:rPr>
          <w:sz w:val="30"/>
          <w:szCs w:val="30"/>
        </w:rPr>
        <w:instrText xml:space="preserve"> PAGEREF _Toc208843965 \h </w:instrText>
      </w:r>
      <w:r>
        <w:rPr>
          <w:sz w:val="30"/>
          <w:szCs w:val="30"/>
        </w:rPr>
        <w:fldChar w:fldCharType="separate"/>
      </w:r>
      <w:r>
        <w:rPr>
          <w:sz w:val="30"/>
          <w:szCs w:val="30"/>
        </w:rPr>
        <w:t>- 14 -</w:t>
      </w:r>
      <w:r>
        <w:rPr>
          <w:sz w:val="30"/>
          <w:szCs w:val="30"/>
        </w:rPr>
        <w:fldChar w:fldCharType="end"/>
      </w:r>
      <w:r>
        <w:fldChar w:fldCharType="end"/>
      </w:r>
    </w:p>
    <w:p>
      <w:pPr>
        <w:pStyle w:val="23"/>
        <w:tabs>
          <w:tab w:val="right" w:leader="middleDot" w:pos="8296"/>
        </w:tabs>
        <w:spacing w:before="0" w:line="460" w:lineRule="exact"/>
        <w:rPr>
          <w:rFonts w:ascii="Calibri" w:eastAsia="宋体" w:cs="Arial" w:hAnsi="Calibri"/>
          <w:b w:val="0"/>
          <w:bCs w:val="0"/>
          <w:caps w:val="0"/>
          <w:smallCaps w:val="0"/>
          <w:sz w:val="30"/>
          <w:szCs w:val="30"/>
        </w:rPr>
      </w:pPr>
      <w:r>
        <w:fldChar w:fldCharType="begin"/>
      </w:r>
      <w:r>
        <w:instrText>Hyperlink \l "_Toc208843966"</w:instrText>
      </w:r>
      <w:r>
        <w:fldChar w:fldCharType="separate"/>
      </w:r>
      <w:r>
        <w:rPr>
          <w:rFonts w:eastAsia="黑体" w:hint="eastAsia"/>
          <w:sz w:val="30"/>
          <w:szCs w:val="30"/>
        </w:rPr>
        <w:t>第三部分名词解释</w:t>
      </w:r>
      <w:r>
        <w:rPr>
          <w:sz w:val="30"/>
          <w:szCs w:val="30"/>
        </w:rPr>
        <w:tab/>
      </w:r>
      <w:r>
        <w:rPr>
          <w:sz w:val="30"/>
          <w:szCs w:val="30"/>
        </w:rPr>
        <w:fldChar w:fldCharType="begin"/>
      </w:r>
      <w:r>
        <w:rPr>
          <w:sz w:val="30"/>
          <w:szCs w:val="30"/>
        </w:rPr>
        <w:instrText xml:space="preserve"> PAGEREF _Toc208843966 \h </w:instrText>
      </w:r>
      <w:r>
        <w:rPr>
          <w:sz w:val="30"/>
          <w:szCs w:val="30"/>
        </w:rPr>
        <w:fldChar w:fldCharType="separate"/>
      </w:r>
      <w:r>
        <w:rPr>
          <w:sz w:val="30"/>
          <w:szCs w:val="30"/>
        </w:rPr>
        <w:t>- 16 -</w:t>
      </w:r>
      <w:r>
        <w:rPr>
          <w:sz w:val="30"/>
          <w:szCs w:val="30"/>
        </w:rPr>
        <w:fldChar w:fldCharType="end"/>
      </w:r>
      <w:r>
        <w:fldChar w:fldCharType="end"/>
      </w:r>
    </w:p>
    <w:p>
      <w:pPr>
        <w:pStyle w:val="23"/>
        <w:tabs>
          <w:tab w:val="right" w:leader="middleDot" w:pos="8296"/>
        </w:tabs>
        <w:spacing w:before="0" w:line="460" w:lineRule="exact"/>
        <w:rPr>
          <w:rFonts w:ascii="Calibri" w:eastAsia="宋体" w:cs="Arial" w:hAnsi="Calibri"/>
          <w:b w:val="0"/>
          <w:bCs w:val="0"/>
          <w:caps w:val="0"/>
          <w:smallCaps w:val="0"/>
          <w:sz w:val="30"/>
          <w:szCs w:val="30"/>
        </w:rPr>
      </w:pPr>
      <w:r>
        <w:fldChar w:fldCharType="begin"/>
      </w:r>
      <w:r>
        <w:instrText>Hyperlink \l "_Toc208843967"</w:instrText>
      </w:r>
      <w:r>
        <w:fldChar w:fldCharType="separate"/>
      </w:r>
      <w:r>
        <w:rPr>
          <w:rFonts w:eastAsia="黑体" w:hint="eastAsia"/>
          <w:sz w:val="30"/>
          <w:szCs w:val="30"/>
        </w:rPr>
        <w:t>第四部分</w:t>
      </w:r>
      <w:r>
        <w:rPr>
          <w:rFonts w:eastAsia="黑体"/>
          <w:sz w:val="30"/>
          <w:szCs w:val="30"/>
        </w:rPr>
        <w:t xml:space="preserve"> </w:t>
      </w:r>
      <w:r>
        <w:rPr>
          <w:rFonts w:eastAsia="黑体" w:hint="eastAsia"/>
          <w:sz w:val="30"/>
          <w:szCs w:val="30"/>
        </w:rPr>
        <w:t>附件</w:t>
      </w:r>
      <w:r>
        <w:rPr>
          <w:sz w:val="30"/>
          <w:szCs w:val="30"/>
        </w:rPr>
        <w:tab/>
      </w:r>
      <w:r>
        <w:rPr>
          <w:sz w:val="30"/>
          <w:szCs w:val="30"/>
        </w:rPr>
        <w:fldChar w:fldCharType="begin"/>
      </w:r>
      <w:r>
        <w:rPr>
          <w:sz w:val="30"/>
          <w:szCs w:val="30"/>
        </w:rPr>
        <w:instrText xml:space="preserve"> PAGEREF _Toc208843967 \h </w:instrText>
      </w:r>
      <w:r>
        <w:rPr>
          <w:sz w:val="30"/>
          <w:szCs w:val="30"/>
        </w:rPr>
        <w:fldChar w:fldCharType="separate"/>
      </w:r>
      <w:r>
        <w:rPr>
          <w:sz w:val="30"/>
          <w:szCs w:val="30"/>
        </w:rPr>
        <w:t>- 18 -</w:t>
      </w:r>
      <w:r>
        <w:rPr>
          <w:sz w:val="30"/>
          <w:szCs w:val="30"/>
        </w:rPr>
        <w:fldChar w:fldCharType="end"/>
      </w:r>
      <w:r>
        <w:fldChar w:fldCharType="end"/>
      </w:r>
    </w:p>
    <w:p>
      <w:pPr>
        <w:pStyle w:val="23"/>
        <w:tabs>
          <w:tab w:val="right" w:leader="middleDot" w:pos="8296"/>
        </w:tabs>
        <w:spacing w:before="0" w:line="460" w:lineRule="exact"/>
        <w:rPr>
          <w:rFonts w:ascii="Calibri" w:eastAsia="宋体" w:cs="Arial" w:hAnsi="Calibri"/>
          <w:b w:val="0"/>
          <w:bCs w:val="0"/>
          <w:caps w:val="0"/>
          <w:smallCaps w:val="0"/>
          <w:sz w:val="21"/>
          <w:szCs w:val="22"/>
        </w:rPr>
      </w:pPr>
      <w:r>
        <w:fldChar w:fldCharType="begin"/>
      </w:r>
      <w:r>
        <w:instrText>Hyperlink \l "_Toc208843969"</w:instrText>
      </w:r>
      <w:r>
        <w:fldChar w:fldCharType="separate"/>
      </w:r>
      <w:r>
        <w:rPr>
          <w:rFonts w:eastAsia="黑体" w:hint="eastAsia"/>
          <w:sz w:val="30"/>
          <w:szCs w:val="30"/>
        </w:rPr>
        <w:t>第</w:t>
      </w:r>
      <w:r>
        <w:rPr>
          <w:rFonts w:hint="eastAsia"/>
          <w:sz w:val="30"/>
          <w:szCs w:val="30"/>
        </w:rPr>
        <w:t>五部分</w:t>
      </w:r>
      <w:r>
        <w:rPr>
          <w:sz w:val="30"/>
          <w:szCs w:val="30"/>
        </w:rPr>
        <w:t xml:space="preserve"> </w:t>
      </w:r>
      <w:r>
        <w:rPr>
          <w:rFonts w:hint="eastAsia"/>
          <w:sz w:val="30"/>
          <w:szCs w:val="30"/>
        </w:rPr>
        <w:t>附表</w:t>
      </w:r>
      <w:r>
        <w:rPr>
          <w:sz w:val="30"/>
          <w:szCs w:val="30"/>
        </w:rPr>
        <w:tab/>
      </w:r>
      <w:r>
        <w:rPr>
          <w:sz w:val="30"/>
          <w:szCs w:val="30"/>
        </w:rPr>
        <w:fldChar w:fldCharType="begin"/>
      </w:r>
      <w:r>
        <w:rPr>
          <w:sz w:val="30"/>
          <w:szCs w:val="30"/>
        </w:rPr>
        <w:instrText xml:space="preserve"> PAGEREF _Toc208843969 \h </w:instrText>
      </w:r>
      <w:r>
        <w:rPr>
          <w:sz w:val="30"/>
          <w:szCs w:val="30"/>
        </w:rPr>
        <w:fldChar w:fldCharType="separate"/>
      </w:r>
      <w:r>
        <w:rPr>
          <w:sz w:val="30"/>
          <w:szCs w:val="30"/>
        </w:rPr>
        <w:t>- 36 -</w:t>
      </w:r>
      <w:r>
        <w:rPr>
          <w:sz w:val="30"/>
          <w:szCs w:val="30"/>
        </w:rPr>
        <w:fldChar w:fldCharType="end"/>
      </w:r>
      <w:r>
        <w:fldChar w:fldCharType="end"/>
      </w:r>
    </w:p>
    <w:p>
      <w:pPr>
        <w:pStyle w:val="1"/>
        <w:jc w:val="center"/>
        <w:rPr>
          <w:rFonts w:eastAsia="方正小标宋简体" w:cs="方正小标宋简体"/>
          <w:b w:val="0"/>
        </w:rPr>
      </w:pPr>
      <w:r>
        <w:fldChar w:fldCharType="end"/>
      </w:r>
      <w:bookmarkStart w:id="12" w:name="_Toc15377196"/>
      <w:bookmarkStart w:id="13" w:name="_Toc15396599"/>
      <w:bookmarkStart w:id="14" w:name="_Toc208843943"/>
      <w:r>
        <w:rPr>
          <w:rFonts w:eastAsia="方正小标宋简体" w:cs="方正小标宋简体" w:hint="eastAsia"/>
          <w:b w:val="0"/>
        </w:rPr>
        <w:t>第一部分</w:t>
      </w:r>
      <w:r>
        <w:rPr>
          <w:rFonts w:hint="eastAsia"/>
          <w:bCs w:val="0"/>
        </w:rPr>
        <w:t>部门概况</w:t>
      </w:r>
      <w:bookmarkEnd w:id="12"/>
      <w:bookmarkEnd w:id="13"/>
      <w:bookmarkEnd w:id="14"/>
    </w:p>
    <w:p>
      <w:pPr>
        <w:pStyle w:val="2"/>
        <w:rPr>
          <w:rFonts w:ascii="Times New Roman" w:eastAsia="黑体" w:hAnsi="Times New Roman"/>
          <w:b w:val="0"/>
        </w:rPr>
      </w:pPr>
      <w:bookmarkStart w:id="15" w:name="_Toc15396600"/>
      <w:bookmarkStart w:id="16" w:name="_Toc15377197"/>
      <w:bookmarkStart w:id="17" w:name="_Toc208843944"/>
      <w:r>
        <w:rPr>
          <w:rFonts w:ascii="Times New Roman" w:eastAsia="黑体" w:hAnsi="Times New Roman" w:hint="eastAsia"/>
          <w:b w:val="0"/>
        </w:rPr>
        <w:t>一、</w:t>
      </w:r>
      <w:bookmarkEnd w:id="15"/>
      <w:bookmarkEnd w:id="16"/>
      <w:r>
        <w:rPr>
          <w:rFonts w:ascii="Times New Roman" w:eastAsia="黑体" w:hAnsi="Times New Roman" w:hint="eastAsia"/>
          <w:b w:val="0"/>
        </w:rPr>
        <w:t>部门职责</w:t>
      </w:r>
      <w:bookmarkEnd w:id="17"/>
    </w:p>
    <w:p>
      <w:pPr>
        <w:spacing w:line="560" w:lineRule="exact"/>
        <w:ind w:firstLineChars="200" w:firstLine="640"/>
        <w:rPr>
          <w:rFonts w:ascii="仿宋_GB2312" w:eastAsia="仿宋_GB2312"/>
          <w:sz w:val="32"/>
          <w:szCs w:val="32"/>
        </w:rPr>
      </w:pPr>
      <w:r>
        <w:rPr>
          <w:rFonts w:ascii="仿宋_GB2312" w:eastAsia="仿宋_GB2312" w:hint="eastAsia"/>
          <w:sz w:val="32"/>
          <w:szCs w:val="32"/>
        </w:rPr>
        <w:t>政协攀枝花市委员会办公室是政协攀枝花市委员会的工作机构，承担为市政协履行政治协商、民主监督、参政议政职能服务的各项工作。</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1.负责政协攀枝花市委员会全体会议、常委会会议、主席会议和其他重要会议的会务工作。</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2.组织实施市委、市政府、市政协年度协商计划。</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3.负责市政协组织的调研、视察、考察和其他各种活动的协调与服务工作。</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4.负责政协工作的对内对外宣传，收集反映各族各界人士的意见和建议。</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5.密切联系市委</w:t>
      </w:r>
      <w:r>
        <w:rPr>
          <w:rFonts w:ascii="仿宋_GB2312" w:eastAsia="仿宋_GB2312" w:hint="eastAsia"/>
          <w:color w:val="000000"/>
          <w:sz w:val="32"/>
          <w:szCs w:val="32"/>
        </w:rPr>
        <w:t>办公室、市人大常委会办公室</w:t>
      </w:r>
      <w:r>
        <w:rPr>
          <w:rFonts w:ascii="仿宋_GB2312" w:eastAsia="仿宋_GB2312" w:hint="eastAsia"/>
          <w:sz w:val="32"/>
          <w:szCs w:val="32"/>
        </w:rPr>
        <w:t>、市政府办公室、市级各部门和县（区）政协以及大企业统战部（科），相互配合，协同工作。</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6.密切联系市政协委员，为他们履职尽责搞好服务。</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7.负责市政协机关各种接待和联络工作。　</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8.负责市政协机关的各项管理工作以及履行职能的后勤保障和经费管理等工作。</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9.负责权限范围内的人事任免和市政协机关自身建设  工作。</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10.承担市政协领导交办的其他事项。</w:t>
      </w:r>
    </w:p>
    <w:p>
      <w:pPr>
        <w:rPr>
          <w:rFonts w:ascii="仿宋_GB2312" w:eastAsia="仿宋_GB2312"/>
        </w:rPr>
      </w:pPr>
    </w:p>
    <w:p>
      <w:pPr>
        <w:pStyle w:val="17"/>
        <w:rPr>
          <w:rFonts w:eastAsia="仿宋_GB2312"/>
        </w:rPr>
      </w:pPr>
    </w:p>
    <w:p>
      <w:pPr>
        <w:pStyle w:val="2"/>
        <w:rPr>
          <w:rStyle w:val="2Char"/>
          <w:rFonts w:ascii="Times New Roman" w:hAnsi="Times New Roman"/>
        </w:rPr>
      </w:pPr>
      <w:bookmarkStart w:id="18" w:name="_Toc15396601"/>
      <w:bookmarkStart w:id="19" w:name="_Toc15377200"/>
      <w:bookmarkStart w:id="20" w:name="_Toc208843945"/>
      <w:r>
        <w:rPr>
          <w:rFonts w:ascii="Times New Roman" w:eastAsia="黑体" w:hAnsi="Times New Roman" w:hint="eastAsia"/>
          <w:b w:val="0"/>
        </w:rPr>
        <w:t>二、机</w:t>
      </w:r>
      <w:r>
        <w:rPr>
          <w:rStyle w:val="2Char"/>
          <w:rFonts w:ascii="Times New Roman" w:eastAsia="黑体" w:hAnsi="Times New Roman" w:hint="eastAsia"/>
        </w:rPr>
        <w:t>构设置</w:t>
      </w:r>
      <w:bookmarkEnd w:id="18"/>
      <w:bookmarkEnd w:id="19"/>
      <w:bookmarkEnd w:id="20"/>
    </w:p>
    <w:p>
      <w:pPr>
        <w:ind w:firstLineChars="250" w:firstLine="800"/>
        <w:rPr>
          <w:rFonts w:eastAsia="仿宋_GB2312"/>
          <w:sz w:val="32"/>
          <w:szCs w:val="32"/>
        </w:rPr>
      </w:pPr>
      <w:bookmarkStart w:id="21" w:name="_Toc15377204"/>
      <w:bookmarkStart w:id="22" w:name="_Toc15396602"/>
      <w:r>
        <w:rPr>
          <w:rFonts w:eastAsia="仿宋_GB2312"/>
          <w:sz w:val="32"/>
          <w:szCs w:val="32"/>
        </w:rPr>
        <w:t>中国人民政治协商会议四川省攀枝花市委员会办公室下属二级预算单位0个，其中行政单位0个，参照公务员法管理的事业单位</w:t>
      </w:r>
      <w:r>
        <w:rPr>
          <w:rFonts w:eastAsia="仿宋_GB2312"/>
          <w:bCs/>
          <w:sz w:val="32"/>
          <w:szCs w:val="32"/>
        </w:rPr>
        <w:t>0</w:t>
      </w:r>
      <w:r>
        <w:rPr>
          <w:rFonts w:eastAsia="仿宋_GB2312"/>
          <w:sz w:val="32"/>
          <w:szCs w:val="32"/>
        </w:rPr>
        <w:t>个，其他事业单位0个。</w:t>
      </w:r>
    </w:p>
    <w:p>
      <w:pPr>
        <w:pStyle w:val="15"/>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
        <w:jc w:val="center"/>
        <w:rPr>
          <w:rFonts w:eastAsia="方正小标宋简体" w:cs="方正小标宋简体"/>
          <w:b w:val="0"/>
        </w:rPr>
      </w:pPr>
      <w:bookmarkStart w:id="23" w:name="_Toc208843946"/>
      <w:r>
        <w:rPr>
          <w:rFonts w:eastAsia="方正小标宋简体" w:cs="方正小标宋简体" w:hint="eastAsia"/>
          <w:b w:val="0"/>
        </w:rPr>
        <w:t>第二部分2024年度部门决算情况说明</w:t>
      </w:r>
      <w:bookmarkEnd w:id="21"/>
      <w:bookmarkEnd w:id="22"/>
      <w:bookmarkEnd w:id="23"/>
    </w:p>
    <w:p/>
    <w:p>
      <w:pPr>
        <w:pStyle w:val="32"/>
        <w:spacing w:line="600" w:lineRule="exact"/>
        <w:outlineLvl w:val="1"/>
        <w:rPr>
          <w:rStyle w:val="2Char"/>
          <w:rFonts w:ascii="Times New Roman" w:eastAsia="黑体" w:hAnsi="Times New Roman"/>
          <w:b w:val="0"/>
        </w:rPr>
      </w:pPr>
      <w:bookmarkStart w:id="24" w:name="_Toc15396603"/>
      <w:bookmarkStart w:id="25" w:name="_Toc15377205"/>
      <w:bookmarkStart w:id="26" w:name="_Toc208843947"/>
      <w:r>
        <w:rPr>
          <w:rFonts w:eastAsia="黑体" w:hint="eastAsia"/>
          <w:sz w:val="32"/>
          <w:szCs w:val="32"/>
        </w:rPr>
        <w:t>一、收</w:t>
      </w:r>
      <w:r>
        <w:rPr>
          <w:rStyle w:val="2Char"/>
          <w:rFonts w:ascii="Times New Roman" w:eastAsia="黑体" w:hAnsi="Times New Roman" w:hint="eastAsia"/>
          <w:b w:val="0"/>
        </w:rPr>
        <w:t>入支出决算总体情况说明</w:t>
      </w:r>
      <w:bookmarkEnd w:id="24"/>
      <w:bookmarkEnd w:id="25"/>
      <w:bookmarkEnd w:id="26"/>
    </w:p>
    <w:p>
      <w:pPr>
        <w:spacing w:line="600" w:lineRule="exact"/>
        <w:ind w:firstLine="640"/>
        <w:rPr>
          <w:rFonts w:eastAsia="仿宋_GB2312"/>
          <w:sz w:val="32"/>
          <w:szCs w:val="32"/>
        </w:rPr>
      </w:pPr>
      <w:bookmarkStart w:id="27" w:name="_Toc208823655"/>
      <w:bookmarkStart w:id="28" w:name="_Toc208824023"/>
      <w:r>
        <w:rPr>
          <w:rFonts w:eastAsia="仿宋_GB2312"/>
          <w:sz w:val="32"/>
          <w:szCs w:val="32"/>
        </w:rPr>
        <w:t>2024年度收入、支出总计均为2163.78万元。与2023年度相比，收入、支出总计各增加53.97万元，增长2.56%。主要变动原因是增加了人员经费和项目经费。</w:t>
      </w:r>
      <w:bookmarkEnd w:id="27"/>
      <w:bookmarkEnd w:id="28"/>
    </w:p>
    <w:p>
      <w:pPr>
        <w:pStyle w:val="17"/>
      </w:pPr>
    </w:p>
    <w:p>
      <w:pPr>
        <w:pStyle w:val="17"/>
      </w:pPr>
      <w:r>
        <w:drawing>
          <wp:inline distT="0" distB="0" distL="114300" distR="114300">
            <wp:extent cx="4826000" cy="2743200"/>
            <wp:effectExtent l="0" t="0" r="0" b="0"/>
            <wp:docPr id="1" name="图表 1"/>
            <wp:cNvGraphicFramePr>
              <a:graphicFrameLocks noChangeAspect="0"/>
            </wp:cNvGraphicFramePr>
            <a:graphic>
              <a:graphicData uri="http://schemas.openxmlformats.org/drawingml/2006/chart">
                <c:chart xmlns:c="http://schemas.openxmlformats.org/drawingml/2006/chart" r:id="rId6"/>
              </a:graphicData>
            </a:graphic>
          </wp:inline>
        </w:drawing>
      </w:r>
    </w:p>
    <w:p>
      <w:pPr>
        <w:pStyle w:val="17"/>
      </w:pPr>
    </w:p>
    <w:p>
      <w:pPr>
        <w:pStyle w:val="32"/>
        <w:spacing w:line="600" w:lineRule="exact"/>
        <w:outlineLvl w:val="1"/>
        <w:rPr>
          <w:rFonts w:eastAsia="黑体"/>
          <w:sz w:val="32"/>
          <w:szCs w:val="32"/>
        </w:rPr>
      </w:pPr>
      <w:bookmarkStart w:id="29" w:name="_Toc15377206"/>
      <w:bookmarkStart w:id="30" w:name="_Toc15396604"/>
      <w:bookmarkStart w:id="31" w:name="_Toc208843948"/>
      <w:r>
        <w:rPr>
          <w:rFonts w:eastAsia="黑体" w:hint="eastAsia"/>
          <w:sz w:val="32"/>
          <w:szCs w:val="32"/>
        </w:rPr>
        <w:t>二、收入决算情况说明</w:t>
      </w:r>
      <w:bookmarkEnd w:id="29"/>
      <w:bookmarkEnd w:id="30"/>
      <w:bookmarkEnd w:id="31"/>
    </w:p>
    <w:p>
      <w:pPr>
        <w:spacing w:line="600" w:lineRule="exact"/>
        <w:ind w:firstLine="640"/>
        <w:rPr>
          <w:rFonts w:eastAsia="仿宋_GB2312"/>
          <w:sz w:val="32"/>
          <w:szCs w:val="32"/>
        </w:rPr>
      </w:pPr>
      <w:r>
        <w:rPr>
          <w:rFonts w:eastAsia="仿宋_GB2312"/>
          <w:sz w:val="32"/>
          <w:szCs w:val="32"/>
        </w:rPr>
        <w:t>2024年度本年收入合计2156.18万元，其中：一般公共预算财政拨款收入2152.88万元，占99.84%；政府性基金预算财政拨款收入0万元，占0%；国有资本经营预算财政拨款收入0万元，占0%；上级补助收入0万元，占0%；事业收入0万元，占0%；经营收入0万元，占0%；附属单位上缴收入0万元，占0%；其他收入3.3万元，占0.15%。</w:t>
      </w:r>
    </w:p>
    <w:p>
      <w:pPr>
        <w:ind w:firstLineChars="250" w:firstLine="525"/>
        <w:rPr>
          <w:rFonts w:eastAsia="仿宋_GB2312" w:cs="仿宋_GB2312"/>
          <w:sz w:val="32"/>
          <w:szCs w:val="32"/>
        </w:rPr>
      </w:pPr>
      <w:r>
        <w:drawing>
          <wp:inline distT="0" distB="0" distL="114300" distR="114300">
            <wp:extent cx="4826000" cy="2743200"/>
            <wp:effectExtent l="0" t="0" r="0" b="0"/>
            <wp:docPr id="2" name="图表 2"/>
            <wp:cNvGraphicFramePr>
              <a:graphicFrameLocks noChangeAspect="0"/>
            </wp:cNvGraphicFramePr>
            <a:graphic>
              <a:graphicData uri="http://schemas.openxmlformats.org/drawingml/2006/chart">
                <c:chart xmlns:c="http://schemas.openxmlformats.org/drawingml/2006/chart" r:id="rId7"/>
              </a:graphicData>
            </a:graphic>
          </wp:inline>
        </w:drawing>
      </w:r>
    </w:p>
    <w:p>
      <w:pPr>
        <w:pStyle w:val="32"/>
        <w:spacing w:line="600" w:lineRule="exact"/>
        <w:outlineLvl w:val="1"/>
        <w:rPr>
          <w:rStyle w:val="2Char"/>
          <w:rFonts w:ascii="Times New Roman" w:eastAsia="黑体" w:hAnsi="Times New Roman"/>
          <w:b w:val="0"/>
        </w:rPr>
      </w:pPr>
      <w:bookmarkStart w:id="32" w:name="_Toc15396605"/>
      <w:bookmarkStart w:id="33" w:name="_Toc15377207"/>
      <w:bookmarkStart w:id="34" w:name="_Toc208843949"/>
      <w:r>
        <w:rPr>
          <w:rFonts w:eastAsia="黑体" w:hint="eastAsia"/>
          <w:sz w:val="32"/>
          <w:szCs w:val="32"/>
        </w:rPr>
        <w:t>三、支</w:t>
      </w:r>
      <w:r>
        <w:rPr>
          <w:rStyle w:val="2Char"/>
          <w:rFonts w:ascii="Times New Roman" w:eastAsia="黑体" w:hAnsi="Times New Roman" w:hint="eastAsia"/>
          <w:b w:val="0"/>
        </w:rPr>
        <w:t>出决算情况说明</w:t>
      </w:r>
      <w:bookmarkEnd w:id="32"/>
      <w:bookmarkEnd w:id="33"/>
      <w:bookmarkEnd w:id="34"/>
    </w:p>
    <w:p>
      <w:pPr>
        <w:spacing w:line="600" w:lineRule="exact"/>
        <w:ind w:firstLine="640"/>
        <w:rPr>
          <w:rFonts w:eastAsia="仿宋_GB2312"/>
          <w:sz w:val="32"/>
          <w:szCs w:val="32"/>
        </w:rPr>
      </w:pPr>
      <w:r>
        <w:rPr>
          <w:rFonts w:eastAsia="仿宋_GB2312"/>
          <w:sz w:val="32"/>
          <w:szCs w:val="32"/>
        </w:rPr>
        <w:t>2024年度本年支出合计2152.88万元，其中：基本支出1782.12万元，占82.77%；项目支出370.76万元，占17.22%；上缴上级支出0万元，占0%；经营支出0万元，占0%；对附属单位补助支出0万元，占0%。</w:t>
      </w:r>
    </w:p>
    <w:p>
      <w:pPr>
        <w:ind w:firstLineChars="250" w:firstLine="525"/>
        <w:rPr>
          <w:rFonts w:eastAsia="仿宋_GB2312" w:cs="仿宋_GB2312"/>
          <w:sz w:val="32"/>
          <w:szCs w:val="32"/>
        </w:rPr>
      </w:pPr>
      <w:r>
        <w:drawing>
          <wp:inline distT="0" distB="0" distL="114300" distR="114300">
            <wp:extent cx="4826000" cy="2743200"/>
            <wp:effectExtent l="0" t="0" r="0" b="0"/>
            <wp:docPr id="3" name="图表 3"/>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outlineLvl w:val="1"/>
        <w:rPr>
          <w:rStyle w:val="2Char"/>
          <w:rFonts w:ascii="Times New Roman" w:eastAsia="黑体" w:hAnsi="Times New Roman"/>
          <w:b w:val="0"/>
        </w:rPr>
      </w:pPr>
      <w:bookmarkStart w:id="35" w:name="_Toc15396606"/>
      <w:bookmarkStart w:id="36" w:name="_Toc15377208"/>
      <w:bookmarkStart w:id="37" w:name="_Toc208843950"/>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35"/>
      <w:bookmarkEnd w:id="36"/>
      <w:bookmarkEnd w:id="37"/>
    </w:p>
    <w:p>
      <w:pPr>
        <w:spacing w:line="600" w:lineRule="exact"/>
        <w:ind w:firstLine="640"/>
        <w:rPr>
          <w:rFonts w:eastAsia="仿宋_GB2312"/>
          <w:sz w:val="32"/>
          <w:szCs w:val="32"/>
        </w:rPr>
      </w:pPr>
      <w:bookmarkStart w:id="38" w:name="_Toc15377209"/>
      <w:bookmarkStart w:id="39" w:name="_Toc15396607"/>
      <w:r>
        <w:rPr>
          <w:rFonts w:eastAsia="仿宋_GB2312"/>
          <w:sz w:val="32"/>
          <w:szCs w:val="32"/>
        </w:rPr>
        <w:t>2024年度财政拨款收入、支出总计均为2152.88万元。与2023年度相比，财政拨款收入总计、支出总计各增加43.07万元，增长2.04%。主要变动原因是增加了人员经费和项目经费。</w:t>
      </w:r>
    </w:p>
    <w:p>
      <w:pPr>
        <w:spacing w:line="600" w:lineRule="exact"/>
        <w:ind w:firstLineChars="200" w:firstLine="640"/>
        <w:outlineLvl w:val="1"/>
        <w:rPr>
          <w:rStyle w:val="2Char"/>
          <w:rFonts w:ascii="Times New Roman" w:eastAsia="黑体" w:hAnsi="Times New Roman"/>
          <w:b w:val="0"/>
        </w:rPr>
      </w:pPr>
      <w:bookmarkStart w:id="40" w:name="_Toc208843951"/>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38"/>
      <w:bookmarkEnd w:id="39"/>
      <w:bookmarkEnd w:id="40"/>
    </w:p>
    <w:p>
      <w:pPr>
        <w:spacing w:line="600" w:lineRule="exact"/>
        <w:ind w:firstLineChars="200" w:firstLine="640"/>
        <w:outlineLvl w:val="2"/>
        <w:rPr>
          <w:rFonts w:eastAsia="楷体_GB2312" w:cs="楷体_GB2312"/>
          <w:b/>
          <w:sz w:val="32"/>
          <w:szCs w:val="32"/>
        </w:rPr>
      </w:pPr>
      <w:bookmarkStart w:id="41" w:name="_Toc15377210"/>
      <w:bookmarkStart w:id="42" w:name="_Toc208843952"/>
      <w:r>
        <w:rPr>
          <w:rFonts w:eastAsia="楷体_GB2312" w:cs="楷体_GB2312" w:hint="eastAsia"/>
          <w:b/>
          <w:sz w:val="32"/>
          <w:szCs w:val="32"/>
        </w:rPr>
        <w:t>（一）一般公共预算财政拨款支出决算总体情况</w:t>
      </w:r>
      <w:bookmarkEnd w:id="41"/>
      <w:bookmarkEnd w:id="42"/>
    </w:p>
    <w:p>
      <w:pPr>
        <w:spacing w:line="600" w:lineRule="exact"/>
        <w:ind w:firstLine="640"/>
        <w:rPr>
          <w:rFonts w:eastAsia="仿宋_GB2312"/>
          <w:sz w:val="32"/>
          <w:szCs w:val="32"/>
        </w:rPr>
      </w:pPr>
      <w:r>
        <w:rPr>
          <w:rFonts w:eastAsia="仿宋_GB2312"/>
          <w:sz w:val="32"/>
          <w:szCs w:val="32"/>
        </w:rPr>
        <w:t>2024年度一般公共预算财政拨款支出2152.88万元，占本年支出合计的100%。与2023年度相比，一般公共预算财政拨款支出增加43.07万元，增长2.04%。主要变动原因是增加了人员经费和项目经费。</w:t>
      </w:r>
    </w:p>
    <w:p>
      <w:pPr>
        <w:pStyle w:val="17"/>
      </w:pPr>
    </w:p>
    <w:p>
      <w:pPr>
        <w:pStyle w:val="17"/>
      </w:pPr>
      <w:r>
        <w:drawing>
          <wp:inline distT="0" distB="0" distL="114300" distR="114300">
            <wp:extent cx="4826000" cy="2743200"/>
            <wp:effectExtent l="0" t="0" r="0" b="0"/>
            <wp:docPr id="4" name="图表 5"/>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outlineLvl w:val="2"/>
        <w:rPr>
          <w:rFonts w:eastAsia="楷体_GB2312" w:cs="楷体_GB2312"/>
          <w:b/>
          <w:sz w:val="32"/>
          <w:szCs w:val="32"/>
        </w:rPr>
      </w:pPr>
      <w:bookmarkStart w:id="43" w:name="_Toc15377211"/>
      <w:bookmarkStart w:id="44" w:name="_Toc208843953"/>
      <w:r>
        <w:rPr>
          <w:rFonts w:eastAsia="楷体_GB2312" w:cs="楷体_GB2312" w:hint="eastAsia"/>
          <w:b/>
          <w:sz w:val="32"/>
          <w:szCs w:val="32"/>
        </w:rPr>
        <w:t>（二）一般公共预算财政拨款支出决算结构情况</w:t>
      </w:r>
      <w:bookmarkEnd w:id="43"/>
      <w:bookmarkEnd w:id="44"/>
    </w:p>
    <w:p>
      <w:pPr>
        <w:spacing w:line="600" w:lineRule="exact"/>
        <w:ind w:firstLine="640"/>
        <w:rPr>
          <w:rFonts w:eastAsia="仿宋_GB2312"/>
          <w:b/>
          <w:bCs/>
          <w:sz w:val="32"/>
          <w:szCs w:val="32"/>
        </w:rPr>
      </w:pPr>
      <w:r>
        <w:rPr>
          <w:rFonts w:eastAsia="仿宋_GB2312"/>
          <w:sz w:val="32"/>
          <w:szCs w:val="32"/>
        </w:rPr>
        <w:t>2024年度一般公共预算财政拨款支出2152.88万元，主要用于以下方面：一般公共服务支出1488.71万元，占69.15%；教育支出0万元，占0%；科学技术支出0万元，占0%；文化旅游体育与传媒支出0万元，占0%；社会保障和就业支出486.66万元，占22.60%；卫生健康支出75.13万元，占3.49%；住房保障支出102.38万元，占4.76%。.</w:t>
      </w:r>
    </w:p>
    <w:p>
      <w:pPr>
        <w:pStyle w:val="17"/>
      </w:pPr>
    </w:p>
    <w:p>
      <w:pPr>
        <w:pStyle w:val="17"/>
      </w:pPr>
      <w:r>
        <w:drawing>
          <wp:inline distT="0" distB="0" distL="114300" distR="114300">
            <wp:extent cx="4826000" cy="2743200"/>
            <wp:effectExtent l="0" t="0" r="0" b="0"/>
            <wp:docPr id="5" name="图表 6"/>
            <wp:cNvGraphicFramePr>
              <a:graphicFrameLocks noChangeAspect="0"/>
            </wp:cNvGraphicFramePr>
            <a:graphic>
              <a:graphicData uri="http://schemas.openxmlformats.org/drawingml/2006/chart">
                <c:chart xmlns:c="http://schemas.openxmlformats.org/drawingml/2006/chart" r:id="rId10"/>
              </a:graphicData>
            </a:graphic>
          </wp:inline>
        </w:drawing>
      </w:r>
    </w:p>
    <w:p>
      <w:pPr>
        <w:pStyle w:val="17"/>
      </w:pPr>
    </w:p>
    <w:p>
      <w:pPr>
        <w:pStyle w:val="17"/>
      </w:pPr>
    </w:p>
    <w:p>
      <w:pPr>
        <w:spacing w:line="600" w:lineRule="exact"/>
        <w:ind w:firstLineChars="200" w:firstLine="640"/>
        <w:outlineLvl w:val="2"/>
        <w:rPr>
          <w:rFonts w:eastAsia="楷体_GB2312" w:cs="楷体_GB2312"/>
          <w:b/>
          <w:sz w:val="32"/>
          <w:szCs w:val="32"/>
        </w:rPr>
      </w:pPr>
      <w:bookmarkStart w:id="45" w:name="_Toc15377212"/>
      <w:bookmarkStart w:id="46" w:name="_Toc208843954"/>
      <w:r>
        <w:rPr>
          <w:rFonts w:eastAsia="楷体_GB2312" w:cs="楷体_GB2312" w:hint="eastAsia"/>
          <w:b/>
          <w:sz w:val="32"/>
          <w:szCs w:val="32"/>
        </w:rPr>
        <w:t>（三）一般公共预算财政拨款支出决算具体情况</w:t>
      </w:r>
      <w:bookmarkEnd w:id="45"/>
      <w:bookmarkEnd w:id="46"/>
    </w:p>
    <w:p>
      <w:pPr>
        <w:spacing w:line="600" w:lineRule="exact"/>
        <w:ind w:firstLine="640"/>
        <w:rPr>
          <w:rFonts w:eastAsia="仿宋_GB2312"/>
          <w:sz w:val="32"/>
          <w:szCs w:val="32"/>
        </w:rPr>
      </w:pPr>
      <w:bookmarkStart w:id="47" w:name="_Toc15377444"/>
      <w:bookmarkStart w:id="48" w:name="_Toc15378460"/>
      <w:bookmarkStart w:id="49" w:name="_Toc15377213"/>
      <w:r>
        <w:rPr>
          <w:rFonts w:eastAsia="仿宋_GB2312"/>
          <w:sz w:val="32"/>
          <w:szCs w:val="32"/>
        </w:rPr>
        <w:t>2024年度一般公共预算财政拨款支出决算数为2152.88，完成预算100%。其中：</w:t>
      </w:r>
      <w:bookmarkEnd w:id="47"/>
      <w:bookmarkEnd w:id="48"/>
      <w:bookmarkEnd w:id="49"/>
    </w:p>
    <w:p>
      <w:pPr>
        <w:spacing w:line="600" w:lineRule="exact"/>
        <w:ind w:firstLine="640"/>
        <w:rPr>
          <w:rFonts w:eastAsia="仿宋_GB2312"/>
          <w:sz w:val="32"/>
          <w:szCs w:val="32"/>
        </w:rPr>
      </w:pPr>
      <w:r>
        <w:rPr>
          <w:rFonts w:eastAsia="仿宋_GB2312"/>
          <w:sz w:val="32"/>
          <w:szCs w:val="32"/>
        </w:rPr>
        <w:t>1.一般公共服务（类）政协事务（款）行政运行（项）：支出决算为1017.94万元，完成预算100%。</w:t>
      </w:r>
    </w:p>
    <w:p>
      <w:pPr>
        <w:spacing w:line="560" w:lineRule="exact"/>
        <w:ind w:firstLineChars="200" w:firstLine="640"/>
        <w:rPr>
          <w:rFonts w:eastAsia="仿宋_GB2312"/>
          <w:sz w:val="32"/>
          <w:szCs w:val="32"/>
        </w:rPr>
      </w:pPr>
      <w:r>
        <w:rPr>
          <w:rFonts w:eastAsia="仿宋_GB2312"/>
          <w:sz w:val="32"/>
          <w:szCs w:val="32"/>
        </w:rPr>
        <w:t>2. 一般公共服务（类）政协事务（款）一般行政管理事务（项）：支出决算为182.71万元，完成预算100%。</w:t>
      </w:r>
    </w:p>
    <w:p>
      <w:pPr>
        <w:spacing w:line="560" w:lineRule="exact"/>
        <w:ind w:firstLineChars="200" w:firstLine="640"/>
        <w:rPr>
          <w:rFonts w:eastAsia="仿宋_GB2312"/>
          <w:sz w:val="32"/>
          <w:szCs w:val="32"/>
        </w:rPr>
      </w:pPr>
      <w:r>
        <w:rPr>
          <w:rFonts w:eastAsia="仿宋_GB2312"/>
          <w:sz w:val="32"/>
          <w:szCs w:val="32"/>
        </w:rPr>
        <w:t>3.一般公共服务（类）政协事务（款）政协会议（项）：支出决算为77.74万元，完成预算100%。</w:t>
      </w:r>
    </w:p>
    <w:p>
      <w:pPr>
        <w:spacing w:line="560" w:lineRule="exact"/>
        <w:ind w:firstLineChars="200" w:firstLine="640"/>
        <w:rPr>
          <w:rFonts w:eastAsia="仿宋_GB2312"/>
          <w:sz w:val="32"/>
          <w:szCs w:val="32"/>
        </w:rPr>
      </w:pPr>
      <w:r>
        <w:rPr>
          <w:rFonts w:eastAsia="仿宋_GB2312"/>
          <w:sz w:val="32"/>
          <w:szCs w:val="32"/>
        </w:rPr>
        <w:t>4.一般公共服务（类）政协事务（款）委员视察（项）：支出决算为103.08万元，完成预算100%。</w:t>
      </w:r>
    </w:p>
    <w:p>
      <w:pPr>
        <w:spacing w:line="560" w:lineRule="exact"/>
        <w:ind w:firstLineChars="200" w:firstLine="640"/>
        <w:rPr>
          <w:rFonts w:eastAsia="仿宋_GB2312"/>
          <w:sz w:val="32"/>
          <w:szCs w:val="32"/>
        </w:rPr>
      </w:pPr>
      <w:r>
        <w:rPr>
          <w:rFonts w:eastAsia="仿宋_GB2312"/>
          <w:sz w:val="32"/>
          <w:szCs w:val="32"/>
        </w:rPr>
        <w:t>5.一般公共服务（类）政协事务（款）事业运行（项）：支出决算为105.19万元，完成预算100%。</w:t>
      </w:r>
    </w:p>
    <w:p>
      <w:pPr>
        <w:spacing w:line="560" w:lineRule="exact"/>
        <w:ind w:firstLineChars="200" w:firstLine="640"/>
        <w:rPr>
          <w:rFonts w:eastAsia="仿宋_GB2312"/>
          <w:sz w:val="32"/>
          <w:szCs w:val="32"/>
        </w:rPr>
      </w:pPr>
      <w:r>
        <w:rPr>
          <w:rFonts w:eastAsia="仿宋_GB2312"/>
          <w:sz w:val="32"/>
          <w:szCs w:val="32"/>
        </w:rPr>
        <w:t>6.一般公共服务（类）纪检监察事务（款）派驻派出机构（项）：支出决算为1.32万元，完成预算100%。</w:t>
      </w:r>
    </w:p>
    <w:p>
      <w:pPr>
        <w:spacing w:line="560" w:lineRule="exact"/>
        <w:ind w:firstLineChars="200" w:firstLine="640"/>
        <w:rPr>
          <w:rFonts w:eastAsia="仿宋_GB2312"/>
          <w:sz w:val="32"/>
          <w:szCs w:val="32"/>
        </w:rPr>
      </w:pPr>
      <w:r>
        <w:rPr>
          <w:rFonts w:eastAsia="仿宋_GB2312"/>
          <w:sz w:val="32"/>
          <w:szCs w:val="32"/>
        </w:rPr>
        <w:t>7.一般公共服务（类）组织事务（款）其他组织事务支出（项）：支出决算为0.81万元，完成预算100%。</w:t>
      </w:r>
    </w:p>
    <w:p>
      <w:pPr>
        <w:spacing w:line="560" w:lineRule="exact"/>
        <w:ind w:firstLineChars="200" w:firstLine="360"/>
        <w:rPr>
          <w:rFonts w:eastAsia="仿宋_GB2312"/>
          <w:sz w:val="32"/>
          <w:szCs w:val="32"/>
        </w:rPr>
      </w:pPr>
      <w:r>
        <w:rPr>
          <w:rFonts w:eastAsia="仿宋_GB2312"/>
          <w:sz w:val="18"/>
          <w:szCs w:val="18"/>
        </w:rPr>
        <w:t xml:space="preserve">   </w:t>
      </w:r>
      <w:r>
        <w:rPr>
          <w:rFonts w:eastAsia="仿宋_GB2312"/>
          <w:sz w:val="32"/>
          <w:szCs w:val="32"/>
        </w:rPr>
        <w:t>8社会保障和就业支出（类）人力资源和社会保障管理事务（款）其他人力资源和社会保障管理事务支出（项）：支出决算为4万元，完成预算100%。</w:t>
      </w:r>
    </w:p>
    <w:p>
      <w:pPr>
        <w:spacing w:line="560" w:lineRule="exact"/>
        <w:ind w:firstLineChars="200" w:firstLine="640"/>
        <w:rPr>
          <w:rFonts w:eastAsia="仿宋_GB2312"/>
          <w:sz w:val="32"/>
          <w:szCs w:val="32"/>
        </w:rPr>
      </w:pPr>
      <w:r>
        <w:rPr>
          <w:rFonts w:eastAsia="仿宋_GB2312"/>
          <w:sz w:val="32"/>
          <w:szCs w:val="32"/>
        </w:rPr>
        <w:t>9.社会保障和就业支出（类）行政事业单位养老支出（款）行政单位离退休（项）：支出决算为310.77万元，完成预算100%。</w:t>
      </w:r>
    </w:p>
    <w:p>
      <w:pPr>
        <w:spacing w:line="560" w:lineRule="exact"/>
        <w:ind w:firstLineChars="200" w:firstLine="640"/>
        <w:rPr>
          <w:rFonts w:eastAsia="仿宋_GB2312"/>
          <w:sz w:val="32"/>
          <w:szCs w:val="32"/>
        </w:rPr>
      </w:pPr>
      <w:r>
        <w:rPr>
          <w:rFonts w:eastAsia="仿宋_GB2312"/>
          <w:sz w:val="32"/>
          <w:szCs w:val="32"/>
        </w:rPr>
        <w:t>10.社会保障和就业支出（类）行政事业单位养老支出（款）机关事业单位基本养老保险缴费支出（项）：支出决算为126.71万元，完成预算100%。</w:t>
      </w:r>
    </w:p>
    <w:p>
      <w:pPr>
        <w:spacing w:line="560" w:lineRule="exact"/>
        <w:ind w:firstLineChars="200" w:firstLine="640"/>
        <w:rPr>
          <w:rFonts w:eastAsia="仿宋_GB2312"/>
          <w:sz w:val="32"/>
          <w:szCs w:val="32"/>
        </w:rPr>
      </w:pPr>
      <w:r>
        <w:rPr>
          <w:rFonts w:eastAsia="仿宋_GB2312"/>
          <w:sz w:val="32"/>
          <w:szCs w:val="32"/>
        </w:rPr>
        <w:t>11.社会保障和就业支出（类）抚恤（款）死亡抚恤（项）：支出决算为44.55万元，完成预算100%。</w:t>
      </w:r>
    </w:p>
    <w:p>
      <w:pPr>
        <w:spacing w:line="560" w:lineRule="exact"/>
        <w:ind w:firstLineChars="200" w:firstLine="640"/>
        <w:rPr>
          <w:rFonts w:eastAsia="仿宋_GB2312"/>
          <w:sz w:val="32"/>
          <w:szCs w:val="32"/>
        </w:rPr>
      </w:pPr>
      <w:r>
        <w:rPr>
          <w:rFonts w:eastAsia="仿宋_GB2312"/>
          <w:sz w:val="32"/>
        </w:rPr>
        <w:t>12.</w:t>
      </w:r>
      <w:r>
        <w:rPr>
          <w:rFonts w:eastAsia="仿宋_GB2312"/>
          <w:sz w:val="32"/>
          <w:szCs w:val="32"/>
        </w:rPr>
        <w:t>社会保障和就业支出（类）社会福利（款）儿童福利（项）：支出决算为0.63万元，完成预算100%。</w:t>
      </w:r>
    </w:p>
    <w:p>
      <w:pPr>
        <w:spacing w:line="560" w:lineRule="exact"/>
        <w:ind w:firstLineChars="200" w:firstLine="640"/>
        <w:rPr>
          <w:rFonts w:eastAsia="仿宋_GB2312"/>
          <w:sz w:val="32"/>
          <w:szCs w:val="32"/>
        </w:rPr>
      </w:pPr>
      <w:r>
        <w:rPr>
          <w:rFonts w:eastAsia="仿宋_GB2312"/>
          <w:sz w:val="32"/>
          <w:szCs w:val="32"/>
        </w:rPr>
        <w:t>13.卫生健康支出（类）行政事业单位医疗（款）行政单位医疗、事业单位医疗、公务员医疗补助（项）：支出决算为73.34万元，完成预算100%。</w:t>
      </w:r>
    </w:p>
    <w:p>
      <w:pPr>
        <w:spacing w:line="560" w:lineRule="exact"/>
        <w:ind w:firstLineChars="200" w:firstLine="640"/>
        <w:rPr>
          <w:rFonts w:eastAsia="仿宋_GB2312"/>
          <w:sz w:val="32"/>
          <w:szCs w:val="32"/>
        </w:rPr>
      </w:pPr>
      <w:r>
        <w:rPr>
          <w:rFonts w:eastAsia="仿宋_GB2312"/>
          <w:sz w:val="32"/>
          <w:szCs w:val="32"/>
        </w:rPr>
        <w:t>14.卫生健康支出（类）其他卫生健康支出（款）其他卫生健康支出（项）：支出决算为1.79万元，完成预算100%。</w:t>
      </w:r>
    </w:p>
    <w:p>
      <w:pPr>
        <w:spacing w:line="560" w:lineRule="exact"/>
        <w:ind w:firstLineChars="200" w:firstLine="640"/>
        <w:rPr>
          <w:rFonts w:eastAsia="仿宋_GB2312"/>
          <w:sz w:val="32"/>
          <w:szCs w:val="32"/>
        </w:rPr>
      </w:pPr>
      <w:r>
        <w:rPr>
          <w:rFonts w:eastAsia="仿宋_GB2312"/>
          <w:sz w:val="32"/>
          <w:szCs w:val="32"/>
        </w:rPr>
        <w:t>15.住房保障支出（类）住房改革支出（款）：支出住房公积金（项）决算为102.38万元，完成预算100%。</w:t>
      </w:r>
    </w:p>
    <w:p>
      <w:pPr>
        <w:spacing w:line="600" w:lineRule="exact"/>
        <w:ind w:firstLine="640"/>
        <w:rPr>
          <w:rFonts w:eastAsia="仿宋_GB2312"/>
          <w:sz w:val="32"/>
          <w:szCs w:val="32"/>
        </w:rPr>
      </w:pPr>
    </w:p>
    <w:p>
      <w:pPr>
        <w:tabs>
          <w:tab w:val="right" w:pos="8306"/>
        </w:tabs>
        <w:spacing w:line="600" w:lineRule="exact"/>
        <w:ind w:firstLine="640"/>
        <w:outlineLvl w:val="1"/>
        <w:rPr>
          <w:rStyle w:val="2Char"/>
          <w:rFonts w:ascii="Times New Roman" w:hAnsi="Times New Roman"/>
        </w:rPr>
      </w:pPr>
      <w:bookmarkStart w:id="50" w:name="_Toc15377214"/>
      <w:bookmarkStart w:id="51" w:name="_Toc15396608"/>
      <w:bookmarkStart w:id="52" w:name="_Toc208843955"/>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50"/>
      <w:bookmarkEnd w:id="51"/>
      <w:bookmarkEnd w:id="52"/>
      <w:r>
        <w:rPr>
          <w:rStyle w:val="2Char"/>
          <w:rFonts w:ascii="Times New Roman" w:eastAsia="黑体" w:hAnsi="Times New Roman"/>
          <w:b w:val="0"/>
        </w:rPr>
        <w:tab/>
      </w:r>
    </w:p>
    <w:p>
      <w:pPr>
        <w:spacing w:line="600" w:lineRule="exact"/>
        <w:ind w:firstLine="640"/>
        <w:rPr>
          <w:rFonts w:eastAsia="仿宋_GB2312"/>
          <w:sz w:val="32"/>
          <w:szCs w:val="32"/>
        </w:rPr>
      </w:pPr>
      <w:bookmarkStart w:id="53" w:name="_Toc15396609"/>
      <w:bookmarkStart w:id="54" w:name="_Toc15377215"/>
      <w:r>
        <w:rPr>
          <w:rFonts w:eastAsia="仿宋_GB2312"/>
          <w:sz w:val="32"/>
          <w:szCs w:val="32"/>
        </w:rPr>
        <w:t>2024年度一般公共预算财政拨款基本支出1782.12万元，其中：</w:t>
      </w:r>
    </w:p>
    <w:p>
      <w:pPr>
        <w:spacing w:line="600" w:lineRule="exact"/>
        <w:ind w:firstLine="640"/>
        <w:rPr>
          <w:rFonts w:eastAsia="仿宋_GB2312"/>
          <w:sz w:val="32"/>
          <w:szCs w:val="32"/>
        </w:rPr>
      </w:pPr>
      <w:r>
        <w:rPr>
          <w:rFonts w:eastAsia="仿宋_GB2312"/>
          <w:sz w:val="32"/>
          <w:szCs w:val="32"/>
        </w:rPr>
        <w:t>人员经费1554.81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br/>
        <w:t>　　公用经费227.31万元，主要包括：办公费、印刷费、邮电费、差旅费、因公出国（境）费用、维修（护）费、会议费、公务接待费、劳务费、委托业务费、工会经费、福利费、公务用车运行维护费、其他交通费、其他商品和服务支出等。</w:t>
      </w:r>
    </w:p>
    <w:p>
      <w:pPr>
        <w:spacing w:line="600" w:lineRule="exact"/>
        <w:ind w:firstLine="640"/>
        <w:outlineLvl w:val="1"/>
        <w:rPr>
          <w:rStyle w:val="0"/>
          <w:rFonts w:eastAsia="黑体" w:hint="eastAsia"/>
          <w:bCs/>
          <w:sz w:val="32"/>
          <w:szCs w:val="32"/>
        </w:rPr>
      </w:pPr>
      <w:bookmarkStart w:id="55" w:name="_Toc208843956"/>
      <w:r>
        <w:rPr>
          <w:rFonts w:eastAsia="黑体" w:hint="eastAsia"/>
          <w:sz w:val="32"/>
          <w:szCs w:val="32"/>
        </w:rPr>
        <w:t>七、</w:t>
      </w:r>
      <w:r>
        <w:rPr>
          <w:rStyle w:val="0"/>
          <w:rFonts w:eastAsia="黑体" w:hint="eastAsia"/>
          <w:bCs/>
          <w:sz w:val="32"/>
          <w:szCs w:val="32"/>
        </w:rPr>
        <w:t>财政拨款“三公”经费支出决算情况说明</w:t>
      </w:r>
      <w:bookmarkEnd w:id="53"/>
      <w:bookmarkEnd w:id="54"/>
      <w:bookmarkEnd w:id="55"/>
    </w:p>
    <w:p>
      <w:pPr>
        <w:spacing w:line="600" w:lineRule="exact"/>
        <w:ind w:firstLineChars="200" w:firstLine="640"/>
        <w:outlineLvl w:val="2"/>
        <w:rPr>
          <w:rFonts w:eastAsia="仿宋_GB2312"/>
          <w:b/>
          <w:sz w:val="32"/>
          <w:szCs w:val="32"/>
        </w:rPr>
      </w:pPr>
      <w:bookmarkStart w:id="56" w:name="_Toc15377216"/>
      <w:bookmarkStart w:id="57" w:name="_Toc208843957"/>
      <w:r>
        <w:rPr>
          <w:rFonts w:eastAsia="仿宋_GB2312"/>
          <w:b/>
          <w:sz w:val="32"/>
          <w:szCs w:val="32"/>
        </w:rPr>
        <w:t>（一）“三公”经费财政拨款支出决算总体情况说明</w:t>
      </w:r>
      <w:bookmarkEnd w:id="56"/>
      <w:bookmarkEnd w:id="57"/>
    </w:p>
    <w:p>
      <w:pPr>
        <w:spacing w:line="600" w:lineRule="exact"/>
        <w:ind w:firstLine="640"/>
        <w:rPr>
          <w:rFonts w:eastAsia="仿宋_GB2312"/>
          <w:b/>
          <w:bCs/>
          <w:sz w:val="32"/>
          <w:szCs w:val="32"/>
        </w:rPr>
      </w:pPr>
      <w:r>
        <w:rPr>
          <w:rFonts w:eastAsia="仿宋_GB2312"/>
          <w:sz w:val="32"/>
          <w:szCs w:val="32"/>
        </w:rPr>
        <w:t>2024年度“三公”经费财政拨款支出决算为30.63万元，完成预算100%，较上年度增加10.37万元，增长51.18%。决算数与预算数持平的主要原因是</w:t>
      </w:r>
      <w:r>
        <w:rPr>
          <w:rFonts w:eastAsia="仿宋_GB2312"/>
          <w:kern w:val="0"/>
          <w:sz w:val="33"/>
          <w:szCs w:val="33"/>
        </w:rPr>
        <w:t>主要原因是单位厉行节约</w:t>
      </w:r>
      <w:r>
        <w:rPr>
          <w:rFonts w:eastAsia="仿宋_GB2312"/>
          <w:b/>
          <w:bCs/>
          <w:sz w:val="32"/>
          <w:szCs w:val="32"/>
        </w:rPr>
        <w:t>。</w:t>
      </w:r>
    </w:p>
    <w:p>
      <w:pPr>
        <w:spacing w:line="600" w:lineRule="exact"/>
        <w:ind w:firstLineChars="200" w:firstLine="640"/>
        <w:outlineLvl w:val="2"/>
        <w:rPr>
          <w:rFonts w:eastAsia="仿宋_GB2312"/>
          <w:b/>
          <w:sz w:val="32"/>
          <w:szCs w:val="32"/>
        </w:rPr>
      </w:pPr>
      <w:bookmarkStart w:id="58" w:name="_Toc15377217"/>
      <w:bookmarkStart w:id="59" w:name="_Toc208843958"/>
      <w:r>
        <w:rPr>
          <w:rFonts w:eastAsia="仿宋_GB2312"/>
          <w:b/>
          <w:sz w:val="32"/>
          <w:szCs w:val="32"/>
        </w:rPr>
        <w:t>（二）“三公”经费财政拨款支出决算具体情况说明</w:t>
      </w:r>
      <w:bookmarkEnd w:id="58"/>
      <w:bookmarkEnd w:id="59"/>
    </w:p>
    <w:p>
      <w:pPr>
        <w:spacing w:line="600" w:lineRule="exact"/>
        <w:ind w:firstLine="640"/>
        <w:rPr>
          <w:rFonts w:eastAsia="仿宋_GB2312"/>
          <w:sz w:val="32"/>
          <w:szCs w:val="32"/>
        </w:rPr>
      </w:pPr>
      <w:r>
        <w:rPr>
          <w:rFonts w:eastAsia="仿宋_GB2312"/>
          <w:sz w:val="32"/>
          <w:szCs w:val="32"/>
        </w:rPr>
        <w:t>2024年度“三公”经费财政拨款支出决算中，因公出国（境）费支出决算11.29万元，占36.85%；公务用车购置及运行维护费支出决算17.52万元，占57.19%；公务接待费支出决算1.83万元，占5.96%。具体情况如下：</w:t>
      </w:r>
    </w:p>
    <w:p>
      <w:pPr>
        <w:pStyle w:val="17"/>
      </w:pPr>
      <w:r>
        <w:drawing>
          <wp:inline distT="0" distB="0" distL="114300" distR="114300">
            <wp:extent cx="4826000" cy="2743200"/>
            <wp:effectExtent l="0" t="0" r="0" b="0"/>
            <wp:docPr id="6" name="图表 7"/>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640"/>
        <w:rPr>
          <w:rFonts w:eastAsia="仿宋_GB2312"/>
          <w:sz w:val="32"/>
          <w:szCs w:val="32"/>
        </w:rPr>
      </w:pPr>
      <w:bookmarkStart w:id="60" w:name="_Toc15377218"/>
      <w:bookmarkStart w:id="61" w:name="_Toc15396610"/>
      <w:r>
        <w:rPr>
          <w:rFonts w:eastAsia="仿宋_GB2312"/>
          <w:b/>
          <w:bCs/>
          <w:sz w:val="32"/>
          <w:szCs w:val="32"/>
        </w:rPr>
        <w:t>1.因公出国（境）经费支出11.29万元，完成预算100%。</w:t>
      </w:r>
      <w:r>
        <w:rPr>
          <w:rFonts w:eastAsia="仿宋_GB2312"/>
          <w:sz w:val="32"/>
          <w:szCs w:val="32"/>
        </w:rPr>
        <w:t>全年安排因公出国（境）团组1次，出国（境）1人。因公出国（境）支出决算比2023年增加11.29万元，增长100%。主要原因是2023年没有安排因公出国（境）经费。</w:t>
      </w:r>
    </w:p>
    <w:p>
      <w:pPr>
        <w:spacing w:line="600" w:lineRule="exact"/>
        <w:ind w:firstLine="640"/>
        <w:rPr>
          <w:rFonts w:eastAsia="仿宋_GB2312"/>
          <w:sz w:val="32"/>
          <w:szCs w:val="32"/>
        </w:rPr>
      </w:pPr>
      <w:r>
        <w:rPr>
          <w:rFonts w:eastAsia="仿宋_GB2312"/>
          <w:sz w:val="32"/>
          <w:szCs w:val="32"/>
        </w:rPr>
        <w:t>开支内容包括：参加政协四川省委员会办公厅组织的2024年6月19日至28日赴柬埔寨、尼泊尔、白俄罗斯执行科技、教育、经贸合作任务所产生的交通费、住宿费及伙食费等。</w:t>
      </w:r>
    </w:p>
    <w:p>
      <w:pPr>
        <w:spacing w:line="600" w:lineRule="exact"/>
        <w:ind w:firstLine="640"/>
        <w:rPr>
          <w:rFonts w:eastAsia="仿宋_GB2312"/>
          <w:sz w:val="32"/>
          <w:szCs w:val="32"/>
        </w:rPr>
      </w:pPr>
      <w:r>
        <w:rPr>
          <w:rFonts w:eastAsia="仿宋_GB2312"/>
          <w:b/>
          <w:bCs/>
          <w:sz w:val="32"/>
          <w:szCs w:val="32"/>
        </w:rPr>
        <w:t>2.公务用车购置及运行维护费支出17.52万元，完成预算100%。</w:t>
      </w:r>
      <w:r>
        <w:rPr>
          <w:rFonts w:eastAsia="仿宋_GB2312"/>
          <w:sz w:val="32"/>
          <w:szCs w:val="32"/>
        </w:rPr>
        <w:t>公务用车购置及运行维护费支出决算比2023年度增加0.86万元，增长5.16%。主要原因是外出开展重点项目调研、督导，车辆费用增加。</w:t>
      </w:r>
    </w:p>
    <w:p>
      <w:pPr>
        <w:spacing w:line="600" w:lineRule="exact"/>
        <w:ind w:firstLine="640"/>
        <w:rPr>
          <w:rFonts w:eastAsia="仿宋_GB2312"/>
          <w:sz w:val="32"/>
          <w:szCs w:val="32"/>
        </w:rPr>
      </w:pPr>
      <w:r>
        <w:rPr>
          <w:rFonts w:eastAsia="仿宋_GB2312"/>
          <w:sz w:val="32"/>
          <w:szCs w:val="32"/>
        </w:rPr>
        <w:t>其中：公务用车购置支出0万元。全年按规定更新购置公务用车0辆，其中：轿车0辆、金额0万元，越野车0辆、金额0万元，载客汽车0辆、金额0万元。截至2024年12月31日，单位共有公务用车8辆，其中：轿车1辆、越野车5辆、商务车1辆、小型载客汽车1辆。</w:t>
      </w:r>
    </w:p>
    <w:p>
      <w:pPr>
        <w:spacing w:line="600" w:lineRule="exact"/>
        <w:ind w:firstLine="640"/>
        <w:rPr>
          <w:rFonts w:eastAsia="方正仿宋_GBK"/>
          <w:kern w:val="0"/>
          <w:sz w:val="32"/>
          <w:szCs w:val="32"/>
        </w:rPr>
      </w:pPr>
      <w:r>
        <w:rPr>
          <w:rFonts w:eastAsia="仿宋_GB2312"/>
          <w:sz w:val="32"/>
          <w:szCs w:val="32"/>
        </w:rPr>
        <w:t>公务用车运行维护费支出17.52万元。</w:t>
      </w:r>
      <w:r>
        <w:rPr>
          <w:rFonts w:eastAsia="方正仿宋_GBK"/>
          <w:kern w:val="0"/>
          <w:sz w:val="32"/>
          <w:szCs w:val="32"/>
        </w:rPr>
        <w:t>主要用于专委会调研、考察，领导督导重大项目等所需的公务用车燃料费、维修费、过路过桥费、保险费等支出。</w:t>
      </w:r>
    </w:p>
    <w:p>
      <w:pPr>
        <w:spacing w:line="600" w:lineRule="exact"/>
        <w:ind w:firstLine="640"/>
        <w:rPr>
          <w:rFonts w:eastAsia="仿宋_GB2312"/>
          <w:sz w:val="32"/>
          <w:szCs w:val="32"/>
        </w:rPr>
      </w:pPr>
      <w:r>
        <w:rPr>
          <w:rFonts w:eastAsia="仿宋_GB2312"/>
          <w:b/>
          <w:bCs/>
          <w:sz w:val="32"/>
          <w:szCs w:val="32"/>
        </w:rPr>
        <w:t>3.公务接待费支出1.83万元，完成预算100%。</w:t>
      </w:r>
      <w:r>
        <w:rPr>
          <w:rFonts w:eastAsia="仿宋_GB2312"/>
          <w:sz w:val="32"/>
          <w:szCs w:val="32"/>
        </w:rPr>
        <w:t>公务接待费支出决算比2023年度减少1.77万元，下降49.16%。主要原因是厉行节约，减少接待开支。其中：</w:t>
      </w:r>
    </w:p>
    <w:p>
      <w:pPr>
        <w:spacing w:line="600" w:lineRule="exact"/>
        <w:ind w:firstLine="640"/>
        <w:rPr>
          <w:rFonts w:eastAsia="仿宋_GB2312"/>
          <w:sz w:val="32"/>
          <w:szCs w:val="32"/>
        </w:rPr>
      </w:pPr>
      <w:r>
        <w:rPr>
          <w:rFonts w:eastAsia="仿宋_GB2312"/>
          <w:sz w:val="32"/>
          <w:szCs w:val="32"/>
        </w:rPr>
        <w:t>国内公务接待支出1.83万元，</w:t>
      </w:r>
      <w:r>
        <w:rPr>
          <w:rFonts w:eastAsia="方正仿宋_GBK"/>
          <w:kern w:val="0"/>
          <w:sz w:val="32"/>
          <w:szCs w:val="32"/>
        </w:rPr>
        <w:t>主要用于</w:t>
      </w:r>
      <w:r>
        <w:rPr>
          <w:rFonts w:eastAsia="方正仿宋_GBK"/>
          <w:color w:val="000000"/>
          <w:sz w:val="32"/>
          <w:szCs w:val="32"/>
        </w:rPr>
        <w:t>各省（区、市）政协以及本省市（州）政协来攀考察调研、学习交流、检查指导、请示汇报工作等服务保障。</w:t>
      </w:r>
      <w:r>
        <w:rPr>
          <w:rFonts w:eastAsia="仿宋_GB2312"/>
          <w:sz w:val="32"/>
          <w:szCs w:val="32"/>
        </w:rPr>
        <w:t>国内公务接待42批次，654人次（不包括陪同人员），共计支出1.83万元，具体内容包括接待湖州安吉县政协来攀考察调研康养工作，支出1260元；新疆昌吉州政协来攀考察调研康养工作，支出1041元；江西省政协来攀考察调研康养工作，支出1858元；接待原全国政协领导来攀考察调研康养工作，支出3703元；接待成都市社会企业发展促进会专家等来攀考察，支出1694元；接待东营市政协来攀考察调研“共同富裕试验区”工作，支出1260元；接待四川旅游学院院长一行来攀考察调研“挖掘城市历史文化，丰富文化表达增强历史主动，助力区域中心城市建设”，支出950元；接待阿坝州政协一行来攀考察调研“文化传承”工作，支出576元；接待南充政协一行来攀考察调研“中型灌溉区、农业水价”工作，支出760元等。</w:t>
      </w:r>
    </w:p>
    <w:p>
      <w:pPr>
        <w:spacing w:line="600" w:lineRule="exact"/>
        <w:ind w:firstLine="640"/>
        <w:rPr>
          <w:rFonts w:eastAsia="仿宋_GB2312"/>
          <w:sz w:val="32"/>
          <w:szCs w:val="32"/>
        </w:rPr>
      </w:pPr>
      <w:r>
        <w:rPr>
          <w:rFonts w:eastAsia="仿宋_GB2312"/>
          <w:sz w:val="32"/>
          <w:szCs w:val="32"/>
        </w:rPr>
        <w:t>外事接待支出0万元。外事接待0批次，0人次（不包括陪同人员），共计支出0万元。</w:t>
      </w:r>
    </w:p>
    <w:p>
      <w:pPr>
        <w:spacing w:line="600" w:lineRule="exact"/>
        <w:ind w:firstLine="640"/>
        <w:outlineLvl w:val="1"/>
        <w:rPr>
          <w:rStyle w:val="0"/>
          <w:rFonts w:eastAsia="黑体" w:hint="eastAsia"/>
          <w:bCs/>
          <w:sz w:val="32"/>
          <w:szCs w:val="32"/>
        </w:rPr>
      </w:pPr>
      <w:bookmarkStart w:id="62" w:name="_Toc208843959"/>
      <w:r>
        <w:rPr>
          <w:rFonts w:eastAsia="黑体" w:hint="eastAsia"/>
          <w:bCs/>
          <w:sz w:val="32"/>
          <w:szCs w:val="32"/>
        </w:rPr>
        <w:t>八、</w:t>
      </w:r>
      <w:r>
        <w:rPr>
          <w:rStyle w:val="0"/>
          <w:rFonts w:eastAsia="黑体" w:hint="eastAsia"/>
          <w:bCs/>
          <w:sz w:val="32"/>
          <w:szCs w:val="32"/>
        </w:rPr>
        <w:t>政府性基金预算支出决算情况说明</w:t>
      </w:r>
      <w:bookmarkEnd w:id="60"/>
      <w:bookmarkEnd w:id="61"/>
      <w:bookmarkEnd w:id="62"/>
    </w:p>
    <w:p>
      <w:pPr>
        <w:spacing w:line="600" w:lineRule="exact"/>
        <w:ind w:firstLine="640"/>
        <w:rPr>
          <w:rFonts w:eastAsia="仿宋_GB2312"/>
          <w:sz w:val="32"/>
          <w:szCs w:val="32"/>
        </w:rPr>
      </w:pPr>
      <w:r>
        <w:rPr>
          <w:rFonts w:eastAsia="仿宋_GB2312"/>
          <w:sz w:val="32"/>
          <w:szCs w:val="32"/>
        </w:rPr>
        <w:t>2024年度政府性基金预算财政拨款支出0万元，占本年支出合计的0%。2023年度，政府性基金预算财政拨款支出0万元。</w:t>
      </w:r>
    </w:p>
    <w:p>
      <w:pPr>
        <w:spacing w:line="600" w:lineRule="exact"/>
        <w:ind w:firstLine="640"/>
        <w:outlineLvl w:val="1"/>
        <w:rPr>
          <w:rStyle w:val="0"/>
          <w:rFonts w:eastAsia="黑体" w:hint="eastAsia"/>
          <w:bCs/>
          <w:sz w:val="32"/>
          <w:szCs w:val="32"/>
        </w:rPr>
      </w:pPr>
      <w:bookmarkStart w:id="63" w:name="_Toc15396611"/>
      <w:bookmarkStart w:id="64" w:name="_Toc15377219"/>
      <w:bookmarkStart w:id="65" w:name="_Toc208843960"/>
      <w:r>
        <w:rPr>
          <w:rStyle w:val="0"/>
          <w:rFonts w:eastAsia="黑体" w:hint="eastAsia"/>
          <w:bCs/>
          <w:sz w:val="32"/>
          <w:szCs w:val="32"/>
        </w:rPr>
        <w:t>九、国有资本经营预算支出决算情况说明</w:t>
      </w:r>
      <w:bookmarkEnd w:id="63"/>
      <w:bookmarkEnd w:id="64"/>
      <w:bookmarkEnd w:id="65"/>
    </w:p>
    <w:p>
      <w:pPr>
        <w:spacing w:line="600" w:lineRule="exact"/>
        <w:ind w:firstLine="640"/>
        <w:rPr>
          <w:rFonts w:eastAsia="仿宋_GB2312"/>
          <w:sz w:val="32"/>
          <w:szCs w:val="32"/>
        </w:rPr>
      </w:pPr>
      <w:r>
        <w:rPr>
          <w:rFonts w:eastAsia="仿宋_GB2312"/>
          <w:sz w:val="32"/>
          <w:szCs w:val="32"/>
        </w:rPr>
        <w:t>2024年度国有资本经营预算财政拨款支出0万元，占本年支出合计的0%。2023年度，国有资本经营预算财政拨款支出0万元。</w:t>
      </w:r>
    </w:p>
    <w:p>
      <w:pPr>
        <w:spacing w:line="600" w:lineRule="exact"/>
        <w:ind w:firstLine="640"/>
        <w:outlineLvl w:val="1"/>
        <w:rPr>
          <w:rStyle w:val="0"/>
          <w:rFonts w:eastAsia="黑体" w:hint="eastAsia"/>
          <w:bCs/>
          <w:sz w:val="32"/>
          <w:szCs w:val="32"/>
        </w:rPr>
      </w:pPr>
      <w:bookmarkStart w:id="66" w:name="_Toc15396612"/>
      <w:bookmarkStart w:id="67" w:name="_Toc15377221"/>
      <w:bookmarkStart w:id="68" w:name="_Toc208843961"/>
      <w:r>
        <w:rPr>
          <w:rStyle w:val="0"/>
          <w:rFonts w:eastAsia="黑体" w:hint="eastAsia"/>
          <w:bCs/>
          <w:sz w:val="32"/>
          <w:szCs w:val="32"/>
        </w:rPr>
        <w:t>十、其他重要事项的情况说明</w:t>
      </w:r>
      <w:bookmarkEnd w:id="66"/>
      <w:bookmarkEnd w:id="67"/>
      <w:bookmarkEnd w:id="68"/>
    </w:p>
    <w:p>
      <w:pPr>
        <w:spacing w:line="600" w:lineRule="exact"/>
        <w:ind w:firstLineChars="200" w:firstLine="640"/>
        <w:outlineLvl w:val="2"/>
        <w:rPr>
          <w:rFonts w:eastAsia="仿宋_GB2312"/>
          <w:b/>
          <w:sz w:val="32"/>
          <w:szCs w:val="32"/>
        </w:rPr>
      </w:pPr>
      <w:bookmarkStart w:id="69" w:name="_Toc15377222"/>
      <w:bookmarkStart w:id="70" w:name="_Toc208843962"/>
      <w:r>
        <w:rPr>
          <w:rFonts w:eastAsia="仿宋_GB2312"/>
          <w:b/>
          <w:sz w:val="32"/>
          <w:szCs w:val="32"/>
        </w:rPr>
        <w:t>（一）机关运行经费支出情况</w:t>
      </w:r>
      <w:bookmarkEnd w:id="69"/>
      <w:bookmarkEnd w:id="70"/>
    </w:p>
    <w:p>
      <w:pPr>
        <w:spacing w:line="600" w:lineRule="exact"/>
        <w:ind w:firstLine="640"/>
        <w:rPr>
          <w:rFonts w:eastAsia="仿宋_GB2312"/>
          <w:sz w:val="32"/>
          <w:szCs w:val="32"/>
        </w:rPr>
      </w:pPr>
      <w:r>
        <w:rPr>
          <w:rFonts w:eastAsia="仿宋_GB2312"/>
          <w:sz w:val="32"/>
          <w:szCs w:val="32"/>
        </w:rPr>
        <w:t>2024年度，中国人民政治协商会议四川省攀枝花市委员会办公室机关运行经费支出227.31万元，比2023年度减少22.21万元，下降8.9%。主要原因是厉行节约，减少支出。</w:t>
      </w:r>
    </w:p>
    <w:p>
      <w:pPr>
        <w:spacing w:line="600" w:lineRule="exact"/>
        <w:ind w:firstLineChars="200" w:firstLine="640"/>
        <w:outlineLvl w:val="2"/>
        <w:rPr>
          <w:rFonts w:eastAsia="仿宋_GB2312"/>
          <w:b/>
          <w:sz w:val="32"/>
          <w:szCs w:val="32"/>
        </w:rPr>
      </w:pPr>
      <w:bookmarkStart w:id="71" w:name="_Toc15377223"/>
      <w:bookmarkStart w:id="72" w:name="_Toc208843963"/>
      <w:r>
        <w:rPr>
          <w:rFonts w:eastAsia="仿宋_GB2312"/>
          <w:b/>
          <w:sz w:val="32"/>
          <w:szCs w:val="32"/>
        </w:rPr>
        <w:t>（二）政府采购支出情况</w:t>
      </w:r>
      <w:bookmarkEnd w:id="71"/>
      <w:bookmarkEnd w:id="72"/>
    </w:p>
    <w:p>
      <w:pPr>
        <w:spacing w:line="600" w:lineRule="exact"/>
        <w:ind w:firstLine="640"/>
        <w:rPr>
          <w:rFonts w:eastAsia="仿宋_GB2312"/>
          <w:sz w:val="32"/>
          <w:szCs w:val="32"/>
        </w:rPr>
      </w:pPr>
      <w:r>
        <w:rPr>
          <w:rFonts w:eastAsia="仿宋_GB2312"/>
          <w:sz w:val="32"/>
          <w:szCs w:val="32"/>
        </w:rPr>
        <w:t>2024年度，中国人民政治协商会议四川省攀枝花市委员会办公室政府采购支出总额12.08万元，其中：政府采购货物支出1.11万元、政府采购工程支出0万元、政府采购服务支出10.97万元。主要用于购买了1台多功能一体机，公务用车的燃油费、保险费及维修费。授予中小企业合同金额10.38万元，占政府采购支出总额的85.95%，其中：授予小微企业合同金额5.38万元，占政府采购支出总额的44.55%。</w:t>
      </w:r>
    </w:p>
    <w:p>
      <w:pPr>
        <w:spacing w:line="600" w:lineRule="exact"/>
        <w:ind w:firstLineChars="200" w:firstLine="640"/>
        <w:outlineLvl w:val="2"/>
        <w:rPr>
          <w:rFonts w:eastAsia="楷体_GB2312" w:cs="楷体_GB2312"/>
          <w:b/>
          <w:sz w:val="32"/>
          <w:szCs w:val="32"/>
        </w:rPr>
      </w:pPr>
      <w:bookmarkStart w:id="73" w:name="_Toc15377224"/>
      <w:bookmarkStart w:id="74" w:name="_Toc208843964"/>
      <w:r>
        <w:rPr>
          <w:rFonts w:eastAsia="楷体_GB2312" w:cs="楷体_GB2312" w:hint="eastAsia"/>
          <w:b/>
          <w:sz w:val="32"/>
          <w:szCs w:val="32"/>
        </w:rPr>
        <w:t>（三）国有资产占有使用情况</w:t>
      </w:r>
      <w:bookmarkEnd w:id="73"/>
      <w:bookmarkEnd w:id="74"/>
    </w:p>
    <w:p>
      <w:pPr>
        <w:spacing w:line="600" w:lineRule="exact"/>
        <w:ind w:firstLine="640"/>
        <w:rPr>
          <w:rFonts w:eastAsia="仿宋_GB2312"/>
          <w:sz w:val="32"/>
          <w:szCs w:val="32"/>
        </w:rPr>
      </w:pPr>
      <w:r>
        <w:rPr>
          <w:rFonts w:eastAsia="仿宋_GB2312"/>
          <w:sz w:val="32"/>
          <w:szCs w:val="32"/>
        </w:rPr>
        <w:t>截至2024年12月31日，中国人民政治协商会议四川省攀枝花市委员会办公室共有车辆8辆，其中：主要负责人用车0辆、机要通信用车0辆、应急保障用车7辆、其他用车1辆，其他用车主要是用于各专委会调研考察。单价100万元（含）以上设备（不含车辆）0台（套）。</w:t>
      </w:r>
    </w:p>
    <w:p>
      <w:pPr>
        <w:spacing w:line="600" w:lineRule="exact"/>
        <w:ind w:firstLineChars="200" w:firstLine="640"/>
        <w:outlineLvl w:val="2"/>
        <w:rPr>
          <w:rFonts w:eastAsia="楷体_GB2312"/>
          <w:b/>
          <w:sz w:val="32"/>
          <w:szCs w:val="32"/>
        </w:rPr>
      </w:pPr>
      <w:bookmarkStart w:id="75" w:name="_Toc208843965"/>
      <w:r>
        <w:rPr>
          <w:rFonts w:eastAsia="楷体_GB2312"/>
          <w:b/>
          <w:sz w:val="32"/>
          <w:szCs w:val="32"/>
        </w:rPr>
        <w:t>（四）预算绩效管理情况</w:t>
      </w:r>
      <w:bookmarkEnd w:id="75"/>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根据预算绩效管理要求，本单位在2024年度预算编制阶段，组织对政治协商会议、委员调研视察活动经费、专委会业务经费、综合业务费、基层联络站专项经费、新年茶话会经费、人才专项经费、丧葬抚恤费、市级挂职干部补助、关工委工作经费、干部异地体检经费、办公楼搬迁经费及因公出国经费等13个项目开展了预算事前绩效评估，对13个项目编制了绩效目标，预算执行过程中，选取13个项目开展绩效监控，组织对13个项目开展绩效自评，绩效自评表详见第四部分附件。</w:t>
      </w:r>
    </w:p>
    <w:p>
      <w:pPr>
        <w:pStyle w:val="31"/>
        <w:spacing w:line="560" w:lineRule="exact"/>
        <w:ind w:firstLineChars="200" w:firstLine="640"/>
        <w:rPr>
          <w:rFonts w:ascii="仿宋_GB2312" w:eastAsia="仿宋_GB2312" w:cs="Times New Roman" w:hint="eastAsia"/>
          <w:color w:val="auto"/>
          <w:sz w:val="32"/>
          <w:szCs w:val="32"/>
        </w:rPr>
      </w:pPr>
      <w:r>
        <w:rPr>
          <w:rFonts w:ascii="仿宋_GB2312" w:eastAsia="仿宋_GB2312" w:cs="Times New Roman" w:hint="eastAsia"/>
          <w:color w:val="auto"/>
          <w:sz w:val="32"/>
          <w:szCs w:val="32"/>
        </w:rPr>
        <w:br w:type="page"/>
      </w:r>
    </w:p>
    <w:p>
      <w:pPr>
        <w:spacing w:line="600" w:lineRule="exact"/>
        <w:ind w:firstLine="640"/>
        <w:rPr>
          <w:rFonts w:eastAsia="仿宋_GB2312" w:cs="仿宋_GB2312"/>
          <w:sz w:val="32"/>
          <w:szCs w:val="32"/>
        </w:rPr>
      </w:pPr>
    </w:p>
    <w:p>
      <w:pPr>
        <w:spacing w:line="600" w:lineRule="exact"/>
        <w:jc w:val="center"/>
        <w:outlineLvl w:val="0"/>
        <w:rPr>
          <w:rFonts w:eastAsia="黑体"/>
          <w:sz w:val="44"/>
          <w:szCs w:val="44"/>
        </w:rPr>
      </w:pPr>
      <w:bookmarkStart w:id="76" w:name="_Toc15377225"/>
      <w:bookmarkStart w:id="77" w:name="_Toc15396613"/>
      <w:bookmarkStart w:id="78" w:name="_Toc208843966"/>
      <w:r>
        <w:rPr>
          <w:rFonts w:eastAsia="黑体" w:hint="eastAsia"/>
          <w:sz w:val="44"/>
          <w:szCs w:val="44"/>
        </w:rPr>
        <w:t>第三部分名词解释</w:t>
      </w:r>
      <w:bookmarkEnd w:id="76"/>
      <w:bookmarkEnd w:id="77"/>
      <w:bookmarkEnd w:id="78"/>
    </w:p>
    <w:p>
      <w:pPr>
        <w:spacing w:line="600" w:lineRule="exact"/>
        <w:jc w:val="left"/>
        <w:rPr>
          <w:b/>
          <w:sz w:val="44"/>
          <w:szCs w:val="44"/>
        </w:rPr>
      </w:pPr>
    </w:p>
    <w:p>
      <w:pPr>
        <w:pStyle w:val="31"/>
        <w:spacing w:line="560" w:lineRule="exact"/>
        <w:ind w:firstLineChars="200" w:firstLine="640"/>
        <w:rPr>
          <w:rFonts w:ascii="Times New Roman" w:eastAsia="仿宋_GB2312" w:cs="Times New Roman" w:hAnsi="Times New Roman"/>
          <w:color w:val="auto"/>
          <w:sz w:val="32"/>
          <w:szCs w:val="32"/>
        </w:rPr>
      </w:pPr>
      <w:bookmarkStart w:id="79" w:name="_Toc15396614"/>
      <w:bookmarkStart w:id="80" w:name="_Toc15377226"/>
      <w:r>
        <w:rPr>
          <w:rFonts w:ascii="Times New Roman" w:eastAsia="仿宋_GB2312" w:cs="Times New Roman" w:hAnsi="Times New Roman"/>
          <w:color w:val="auto"/>
          <w:sz w:val="32"/>
          <w:szCs w:val="32"/>
        </w:rPr>
        <w:t>1.财政拨款收入：指单位从同级财政部门取得的财政预算资金。</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2.事业收入：指事业单位开展专业业务活动及辅助活动取得的收入。</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3.经营收入：指事业单位在专业业务活动及其辅助活动之外开展非独立核算经营活动取得的收入。</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4.其他收入：指单位取得的除上述收入以外的各项收入。</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5.使用非财政拨款结余（含专用结余）：指事业单位使用以前年度积累的非财政拨款结余弥补当年收支差额的金额。</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6.年初结转和结余：指以前年度尚未完成、结转到本年按有关规定继续使用的资金。</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7.结余分配：指事业单位按照会计制度规定缴纳的所得税、提取的专用结余以及转入非财政拨款结余的金额等。</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8.年末结转和结余：指单位按有关规定结转到下年或以后年度继续使用的资金。</w:t>
      </w:r>
    </w:p>
    <w:p>
      <w:pPr>
        <w:spacing w:line="600" w:lineRule="exact"/>
        <w:ind w:firstLine="640"/>
        <w:rPr>
          <w:rFonts w:eastAsia="仿宋_GB2312"/>
          <w:kern w:val="0"/>
          <w:sz w:val="32"/>
          <w:szCs w:val="32"/>
        </w:rPr>
      </w:pPr>
      <w:r>
        <w:rPr>
          <w:rFonts w:eastAsia="仿宋_GB2312"/>
          <w:kern w:val="0"/>
          <w:sz w:val="32"/>
          <w:szCs w:val="32"/>
        </w:rPr>
        <w:t>9.一般公共服务支出（类）政协事务（款）行政运行（项）：指</w:t>
      </w:r>
      <w:r>
        <w:rPr>
          <w:rFonts w:eastAsia="仿宋_GB2312"/>
          <w:sz w:val="32"/>
          <w:szCs w:val="32"/>
        </w:rPr>
        <w:t>中国人民政治协商会议四川省攀枝花市委员会办公室</w:t>
      </w:r>
      <w:r>
        <w:rPr>
          <w:rFonts w:eastAsia="仿宋_GB2312"/>
          <w:kern w:val="0"/>
          <w:sz w:val="32"/>
          <w:szCs w:val="32"/>
        </w:rPr>
        <w:t>用于保障机关正常运行、开展日常工作的基本支出。</w:t>
      </w:r>
    </w:p>
    <w:p>
      <w:pPr>
        <w:spacing w:line="600" w:lineRule="exact"/>
        <w:ind w:firstLine="640"/>
        <w:rPr>
          <w:rFonts w:eastAsia="仿宋_GB2312"/>
          <w:kern w:val="0"/>
          <w:sz w:val="32"/>
          <w:szCs w:val="32"/>
        </w:rPr>
      </w:pPr>
      <w:r>
        <w:rPr>
          <w:rFonts w:eastAsia="仿宋_GB2312"/>
          <w:kern w:val="0"/>
          <w:sz w:val="32"/>
          <w:szCs w:val="32"/>
        </w:rPr>
        <w:t>10.一般公共服务支出（类）政协事务（款）政协会议（项）：指召开各类专门会议的支出。</w:t>
      </w:r>
    </w:p>
    <w:p>
      <w:pPr>
        <w:spacing w:line="600" w:lineRule="exact"/>
        <w:ind w:firstLine="640"/>
        <w:rPr>
          <w:rFonts w:eastAsia="仿宋_GB2312"/>
          <w:kern w:val="0"/>
          <w:sz w:val="32"/>
          <w:szCs w:val="32"/>
        </w:rPr>
      </w:pPr>
      <w:r>
        <w:rPr>
          <w:rFonts w:eastAsia="仿宋_GB2312"/>
          <w:kern w:val="0"/>
          <w:sz w:val="32"/>
          <w:szCs w:val="32"/>
        </w:rPr>
        <w:t>11.一般公共服务支出（类）政协事务（款）事业运行（项）：指</w:t>
      </w:r>
      <w:r>
        <w:rPr>
          <w:rFonts w:eastAsia="仿宋_GB2312"/>
          <w:sz w:val="32"/>
          <w:szCs w:val="32"/>
        </w:rPr>
        <w:t>中国人民政治协商会议四川省攀枝花市委员会办公室</w:t>
      </w:r>
      <w:r>
        <w:rPr>
          <w:rFonts w:eastAsia="仿宋_GB2312"/>
          <w:kern w:val="0"/>
          <w:sz w:val="32"/>
          <w:szCs w:val="32"/>
        </w:rPr>
        <w:t>用于保障委员联络服务中心正常运行、开展日常工作的基本支出。</w:t>
      </w:r>
    </w:p>
    <w:p>
      <w:pPr>
        <w:spacing w:line="600" w:lineRule="exact"/>
        <w:ind w:firstLine="640"/>
        <w:rPr>
          <w:rFonts w:eastAsia="仿宋_GB2312"/>
          <w:kern w:val="0"/>
          <w:sz w:val="32"/>
          <w:szCs w:val="32"/>
        </w:rPr>
      </w:pPr>
      <w:r>
        <w:rPr>
          <w:rFonts w:eastAsia="仿宋_GB2312"/>
          <w:kern w:val="0"/>
          <w:sz w:val="32"/>
          <w:szCs w:val="32"/>
        </w:rPr>
        <w:t>12.社会保障和就业支出（类）行政事业单位养老支出（款）行政单位离退休（项）：指</w:t>
      </w:r>
      <w:r>
        <w:rPr>
          <w:rFonts w:eastAsia="仿宋_GB2312"/>
          <w:sz w:val="32"/>
          <w:szCs w:val="32"/>
        </w:rPr>
        <w:t>中国人民政治协商会议四川省攀枝花市委员会办公</w:t>
      </w:r>
      <w:r>
        <w:rPr>
          <w:rFonts w:eastAsia="仿宋_GB2312"/>
          <w:kern w:val="0"/>
          <w:sz w:val="32"/>
          <w:szCs w:val="32"/>
        </w:rPr>
        <w:t>室离退休人员支出。</w:t>
      </w:r>
      <w:bookmarkStart w:id="81" w:name="_Toc208824045"/>
    </w:p>
    <w:p>
      <w:pPr>
        <w:spacing w:line="600" w:lineRule="exact"/>
        <w:ind w:firstLine="640"/>
        <w:rPr>
          <w:rFonts w:eastAsia="仿宋_GB2312"/>
          <w:kern w:val="0"/>
          <w:sz w:val="32"/>
          <w:szCs w:val="32"/>
        </w:rPr>
      </w:pPr>
      <w:r>
        <w:rPr>
          <w:rFonts w:eastAsia="仿宋_GB2312"/>
          <w:kern w:val="0"/>
          <w:sz w:val="32"/>
          <w:szCs w:val="32"/>
        </w:rPr>
        <w:t>13.机关运行经费：为保障行政单位（包括实行公务员管理的事业单位）运行用于购买货物和服务的各项资金，包括办公及印刷费、邮电费、差旅费、会议费、津补贴费、日常维修费、专用材料及一般设备购置费、办公用房水电费、办公用房取暖费、办公用房物业管理费、公务用车运行维护费以及其他费用。</w:t>
      </w:r>
      <w:bookmarkEnd w:id="81"/>
    </w:p>
    <w:p>
      <w:pPr>
        <w:spacing w:line="600" w:lineRule="exact"/>
        <w:ind w:firstLineChars="200" w:firstLine="640"/>
        <w:jc w:val="left"/>
        <w:rPr>
          <w:rFonts w:eastAsia="仿宋_GB2312"/>
          <w:kern w:val="0"/>
          <w:sz w:val="32"/>
          <w:szCs w:val="32"/>
        </w:rPr>
      </w:pPr>
      <w:r>
        <w:rPr>
          <w:rFonts w:eastAsia="仿宋_GB2312"/>
          <w:kern w:val="0"/>
          <w:sz w:val="32"/>
          <w:szCs w:val="32"/>
        </w:rPr>
        <w:t>14.“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spacing w:line="600" w:lineRule="exact"/>
        <w:jc w:val="center"/>
        <w:rPr>
          <w:rFonts w:eastAsia="黑体"/>
          <w:sz w:val="44"/>
          <w:szCs w:val="44"/>
        </w:rPr>
      </w:pPr>
    </w:p>
    <w:p>
      <w:pPr>
        <w:spacing w:line="600" w:lineRule="exact"/>
        <w:jc w:val="center"/>
        <w:outlineLvl w:val="0"/>
        <w:rPr>
          <w:bCs/>
        </w:rPr>
      </w:pPr>
      <w:bookmarkStart w:id="82" w:name="_Toc208843967"/>
      <w:r>
        <w:rPr>
          <w:rFonts w:eastAsia="黑体" w:hint="eastAsia"/>
          <w:sz w:val="44"/>
          <w:szCs w:val="44"/>
        </w:rPr>
        <w:t>第四部分 附件</w:t>
      </w:r>
      <w:bookmarkEnd w:id="79"/>
      <w:bookmarkEnd w:id="82"/>
    </w:p>
    <w:p>
      <w:pPr>
        <w:spacing w:line="572" w:lineRule="exact"/>
        <w:jc w:val="left"/>
        <w:outlineLvl w:val="0"/>
        <w:rPr>
          <w:rFonts w:eastAsia="黑体" w:cs="黑体"/>
          <w:color w:val="FF0000"/>
          <w:sz w:val="32"/>
          <w:szCs w:val="32"/>
        </w:rPr>
      </w:pPr>
    </w:p>
    <w:p>
      <w:pPr>
        <w:spacing w:line="572" w:lineRule="exact"/>
        <w:jc w:val="left"/>
        <w:outlineLvl w:val="0"/>
        <w:rPr>
          <w:rFonts w:eastAsia="仿宋_GB2312"/>
          <w:color w:val="000000"/>
          <w:sz w:val="32"/>
          <w:szCs w:val="32"/>
        </w:rPr>
      </w:pPr>
      <w:bookmarkStart w:id="83" w:name="_Toc208843968"/>
      <w:r>
        <w:rPr>
          <w:rFonts w:eastAsia="仿宋_GB2312" w:hint="eastAsia"/>
          <w:color w:val="000000"/>
          <w:sz w:val="32"/>
          <w:szCs w:val="32"/>
        </w:rPr>
        <w:t>附件1</w:t>
      </w:r>
      <w:bookmarkEnd w:id="83"/>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eastAsia="方正小标宋简体" w:hint="eastAsia"/>
          <w:bCs/>
          <w:sz w:val="44"/>
          <w:szCs w:val="44"/>
          <w:shd w:val="clear" w:color="auto" w:fill="FFFFFF"/>
        </w:rPr>
        <w:t>自评</w:t>
      </w:r>
      <w:r>
        <w:rPr>
          <w:rFonts w:eastAsia="方正小标宋简体"/>
          <w:bCs/>
          <w:sz w:val="44"/>
          <w:szCs w:val="44"/>
          <w:shd w:val="clear" w:color="auto" w:fill="FFFFFF"/>
        </w:rPr>
        <w:t>报告</w:t>
      </w:r>
    </w:p>
    <w:p>
      <w:pPr>
        <w:widowControl/>
        <w:adjustRightInd w:val="0"/>
        <w:snapToGrid w:val="0"/>
        <w:spacing w:line="578" w:lineRule="exact"/>
        <w:ind w:firstLineChars="200" w:firstLine="480"/>
        <w:contextualSpacing/>
        <w:jc w:val="left"/>
        <w:rPr>
          <w:rFonts w:eastAsia="黑体"/>
          <w:color w:val="000000"/>
          <w:kern w:val="0"/>
          <w:sz w:val="24"/>
          <w:szCs w:val="32"/>
          <w:shd w:val="clear" w:color="auto" w:fill="FFFFFF"/>
        </w:rPr>
      </w:pPr>
    </w:p>
    <w:p>
      <w:pPr>
        <w:widowControl/>
        <w:adjustRightInd w:val="0"/>
        <w:snapToGrid w:val="0"/>
        <w:spacing w:line="578" w:lineRule="exact"/>
        <w:ind w:firstLineChars="200" w:firstLine="640"/>
        <w:contextualSpacing/>
        <w:jc w:val="left"/>
        <w:rPr>
          <w:rFonts w:eastAsia="仿宋_GB2312"/>
          <w:b/>
          <w:color w:val="000000"/>
          <w:sz w:val="32"/>
          <w:szCs w:val="32"/>
        </w:rPr>
      </w:pPr>
      <w:r>
        <w:rPr>
          <w:rFonts w:eastAsia="仿宋_GB2312"/>
          <w:b/>
          <w:color w:val="000000"/>
          <w:sz w:val="32"/>
          <w:szCs w:val="32"/>
        </w:rPr>
        <w:t>一、部门基本情况</w:t>
      </w:r>
    </w:p>
    <w:p>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（一）机构组成。</w:t>
      </w:r>
    </w:p>
    <w:p>
      <w:pPr>
        <w:widowControl/>
        <w:adjustRightInd w:val="0"/>
        <w:snapToGrid w:val="0"/>
        <w:spacing w:line="580" w:lineRule="exact"/>
        <w:ind w:firstLineChars="200" w:firstLine="640"/>
        <w:contextualSpacing/>
        <w:jc w:val="left"/>
        <w:rPr>
          <w:rFonts w:eastAsia="仿宋_GB2312"/>
          <w:color w:val="000000"/>
          <w:sz w:val="32"/>
          <w:szCs w:val="32"/>
        </w:rPr>
      </w:pPr>
      <w:r>
        <w:rPr>
          <w:rFonts w:eastAsia="仿宋_GB2312"/>
          <w:color w:val="000000"/>
          <w:sz w:val="32"/>
          <w:szCs w:val="32"/>
        </w:rPr>
        <w:t>本部门由机关本级和27个内设机构组成。</w:t>
      </w:r>
    </w:p>
    <w:p>
      <w:pPr>
        <w:spacing w:line="620" w:lineRule="exact"/>
        <w:ind w:firstLineChars="200" w:firstLine="640"/>
        <w:rPr>
          <w:rFonts w:eastAsia="仿宋_GB2312"/>
          <w:color w:val="000000"/>
          <w:sz w:val="32"/>
          <w:szCs w:val="32"/>
        </w:rPr>
      </w:pPr>
      <w:r>
        <w:rPr>
          <w:rFonts w:eastAsia="仿宋_GB2312"/>
          <w:color w:val="000000"/>
          <w:sz w:val="32"/>
          <w:szCs w:val="32"/>
        </w:rPr>
        <w:t>（二）机构职能。</w:t>
      </w:r>
    </w:p>
    <w:p>
      <w:pPr>
        <w:spacing w:line="620" w:lineRule="exact"/>
        <w:ind w:firstLineChars="200" w:firstLine="640"/>
        <w:rPr>
          <w:rFonts w:eastAsia="仿宋_GB2312"/>
          <w:sz w:val="32"/>
          <w:szCs w:val="32"/>
        </w:rPr>
      </w:pPr>
      <w:r>
        <w:rPr>
          <w:rFonts w:eastAsia="仿宋_GB2312"/>
          <w:color w:val="000000"/>
          <w:sz w:val="32"/>
          <w:szCs w:val="32"/>
        </w:rPr>
        <w:t>政协攀枝花市委员会办公室是政协攀枝花市委员会的工作机构，承担为市政协履行政治协商、民主监督、参政议政职能服务的各项工作。</w:t>
        <w:br/>
        <w:t>　　1.负责政协攀枝花市委员会全体会议、常委会会议、主席会议和其他重要会议的会务工作。</w:t>
        <w:br/>
        <w:t>　　2.组织实施政协攀枝花市委员会全体会议、常委会会议、主席会议的决议和决定。</w:t>
        <w:br/>
      </w:r>
      <w:r>
        <w:rPr>
          <w:rFonts w:eastAsia="仿宋_GB2312"/>
          <w:sz w:val="32"/>
          <w:szCs w:val="32"/>
        </w:rPr>
        <w:t>　　3.负责市政协组织的调查、视察、考察和其他各种活动的协调与服务工作。</w:t>
        <w:br/>
        <w:t>　　4.负责政协工作情况的对内对外宣传，收集反映各族各界人士的意见和建议。</w:t>
        <w:br/>
        <w:t>　　5.密切联系市委、市人大常委会、市政府办公室、市级各部门和县（区）政协以及大企业统战部（科），相互配合，协调工作。</w:t>
      </w:r>
    </w:p>
    <w:p>
      <w:pPr>
        <w:spacing w:line="620" w:lineRule="exact"/>
        <w:ind w:firstLineChars="200" w:firstLine="640"/>
        <w:rPr>
          <w:rFonts w:eastAsia="仿宋_GB2312"/>
          <w:sz w:val="32"/>
          <w:szCs w:val="32"/>
        </w:rPr>
      </w:pPr>
      <w:r>
        <w:rPr>
          <w:rFonts w:eastAsia="仿宋_GB2312"/>
          <w:sz w:val="32"/>
          <w:szCs w:val="32"/>
        </w:rPr>
        <w:br/>
        <w:t>　　6.密切联系市政协委员，为他们参政议政搞好服务。</w:t>
        <w:br/>
        <w:t xml:space="preserve">    7.负责市政协机关各种接待和联络工作。　</w:t>
        <w:br/>
        <w:t xml:space="preserve">    8.负责市政协机关的各项管理工作以及履行职能的后勤保障和经费管理等工作。</w:t>
        <w:br/>
        <w:t>　　9.</w:t>
      </w:r>
      <w:r>
        <w:rPr>
          <w:rFonts w:eastAsia="仿宋_GB2312"/>
          <w:spacing w:val="-6"/>
          <w:sz w:val="32"/>
          <w:szCs w:val="32"/>
        </w:rPr>
        <w:t>负责权限范围内的人事任免和市政协机关自身建设工作。</w:t>
      </w:r>
      <w:r>
        <w:rPr>
          <w:rFonts w:eastAsia="仿宋_GB2312"/>
          <w:sz w:val="32"/>
          <w:szCs w:val="32"/>
        </w:rPr>
        <w:br/>
        <w:t>　　10.承担市政协领导交办的其他事项。</w:t>
      </w:r>
    </w:p>
    <w:p>
      <w:pPr>
        <w:widowControl/>
        <w:adjustRightInd w:val="0"/>
        <w:snapToGrid w:val="0"/>
        <w:spacing w:line="580" w:lineRule="exact"/>
        <w:ind w:firstLineChars="200" w:firstLine="640"/>
        <w:contextualSpacing/>
        <w:jc w:val="left"/>
        <w:rPr>
          <w:rFonts w:eastAsia="仿宋_GB2312"/>
          <w:sz w:val="32"/>
          <w:szCs w:val="32"/>
        </w:rPr>
      </w:pPr>
      <w:r>
        <w:rPr>
          <w:rFonts w:eastAsia="仿宋_GB2312"/>
          <w:sz w:val="32"/>
          <w:szCs w:val="32"/>
        </w:rPr>
        <w:t>（三）人员概况。</w:t>
      </w:r>
    </w:p>
    <w:p>
      <w:pPr>
        <w:widowControl/>
        <w:adjustRightInd w:val="0"/>
        <w:snapToGrid w:val="0"/>
        <w:spacing w:line="580" w:lineRule="exact"/>
        <w:ind w:firstLineChars="200" w:firstLine="640"/>
        <w:contextualSpacing/>
        <w:jc w:val="left"/>
        <w:rPr>
          <w:rFonts w:eastAsia="仿宋_GB2312"/>
          <w:sz w:val="32"/>
          <w:szCs w:val="32"/>
        </w:rPr>
      </w:pPr>
      <w:r>
        <w:rPr>
          <w:rFonts w:eastAsia="仿宋_GB2312"/>
          <w:sz w:val="32"/>
          <w:szCs w:val="32"/>
        </w:rPr>
        <w:t>截至2024年末，机关在职行政正式职工46人，聘用8人，在职正式事业职工8人，离休3人，退休50人，关系未转县级及以上人员30人。</w:t>
      </w:r>
    </w:p>
    <w:p>
      <w:pPr>
        <w:widowControl/>
        <w:adjustRightInd w:val="0"/>
        <w:snapToGrid w:val="0"/>
        <w:spacing w:line="578" w:lineRule="exact"/>
        <w:ind w:firstLineChars="200" w:firstLine="640"/>
        <w:contextualSpacing/>
        <w:jc w:val="left"/>
        <w:rPr>
          <w:rFonts w:eastAsia="仿宋_GB2312"/>
          <w:b/>
          <w:sz w:val="32"/>
          <w:szCs w:val="32"/>
        </w:rPr>
      </w:pPr>
      <w:r>
        <w:rPr>
          <w:rFonts w:eastAsia="仿宋_GB2312"/>
          <w:b/>
          <w:sz w:val="32"/>
          <w:szCs w:val="32"/>
        </w:rPr>
        <w:t>二、部门资金收支情况</w:t>
      </w:r>
    </w:p>
    <w:p>
      <w:pPr>
        <w:widowControl/>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（一）收入情况。</w:t>
      </w:r>
    </w:p>
    <w:p>
      <w:pPr>
        <w:widowControl/>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政协攀枝花市委员会办公室2024年年初预算收入2109.81万元、决算报表收入2156.18万元。</w:t>
      </w:r>
    </w:p>
    <w:p>
      <w:pPr>
        <w:widowControl/>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（二）支出情况。</w:t>
      </w:r>
    </w:p>
    <w:p>
      <w:pPr>
        <w:widowControl/>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政协攀枝花市委员会办公室2024年年初预算支出2109.81万元、决算报表支出2152.88万元，主要包括基本支出1782.12万元，用于保障机构正常运转、完成日常工作而发生的人员支出和公用支出。项目支出370.76万元，组织开展重点协商活动24次，调研视察97次，高质量完</w:t>
      </w:r>
      <w:r>
        <w:rPr>
          <w:rFonts w:ascii="仿宋_GB2312" w:eastAsia="仿宋_GB2312" w:hint="eastAsia"/>
          <w:sz w:val="33"/>
          <w:szCs w:val="33"/>
        </w:rPr>
        <w:t>成了16</w:t>
      </w:r>
      <w:r>
        <w:rPr>
          <w:rFonts w:eastAsia="仿宋_GB2312"/>
          <w:sz w:val="32"/>
          <w:szCs w:val="32"/>
        </w:rPr>
        <w:t>个重点协商议题、37项重点工作，履职成果得到市委、市政府主要领导的肯定性批示28件（次）。</w:t>
      </w:r>
    </w:p>
    <w:p>
      <w:pPr>
        <w:widowControl/>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（三）结余分配和结转结余情况。政协攀枝花市委员会办公室2024年决算报表结转结余为其他收入109023.99元。</w:t>
      </w:r>
    </w:p>
    <w:p>
      <w:pPr>
        <w:widowControl/>
        <w:adjustRightInd w:val="0"/>
        <w:snapToGrid w:val="0"/>
        <w:spacing w:line="578" w:lineRule="exact"/>
        <w:ind w:firstLineChars="200" w:firstLine="640"/>
        <w:contextualSpacing/>
        <w:jc w:val="left"/>
        <w:rPr>
          <w:rFonts w:eastAsia="仿宋_GB2312"/>
          <w:b/>
          <w:sz w:val="32"/>
          <w:szCs w:val="32"/>
        </w:rPr>
      </w:pPr>
      <w:r>
        <w:rPr>
          <w:rFonts w:eastAsia="仿宋_GB2312"/>
          <w:b/>
          <w:sz w:val="32"/>
          <w:szCs w:val="32"/>
        </w:rPr>
        <w:t>三、部门预算绩效分析</w:t>
      </w:r>
    </w:p>
    <w:p>
      <w:pPr>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（一）部门预算总体绩效分析。根据部门预算绩效评价指标体系“总体绩效”涉及二、三级指标进行逐项绩效分析并评分，依次包括履职效能、预算管理、财务管理、资产管理、采购管理等情况。</w:t>
      </w:r>
    </w:p>
    <w:p>
      <w:pPr>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1.履职效能。</w:t>
      </w:r>
    </w:p>
    <w:p>
      <w:pPr>
        <w:spacing w:line="578" w:lineRule="exact"/>
        <w:rPr>
          <w:rFonts w:eastAsia="仿宋_GB2312"/>
          <w:sz w:val="32"/>
          <w:szCs w:val="32"/>
        </w:rPr>
      </w:pPr>
      <w:r>
        <w:rPr>
          <w:rFonts w:eastAsia="仿宋_GB2312"/>
          <w:sz w:val="32"/>
          <w:szCs w:val="32"/>
        </w:rPr>
        <w:t xml:space="preserve">    政治协商会议项目经费是保障政协攀枝花市委员会全体会议、常委会会议、主席会议和其他重要会议的正常召开，发挥政治协商、参政议政、民主监督职能。</w:t>
      </w:r>
    </w:p>
    <w:p>
      <w:pPr>
        <w:spacing w:line="578" w:lineRule="exact"/>
        <w:rPr>
          <w:rFonts w:eastAsia="仿宋_GB2312"/>
          <w:sz w:val="32"/>
          <w:szCs w:val="32"/>
        </w:rPr>
      </w:pPr>
      <w:r>
        <w:rPr>
          <w:rFonts w:eastAsia="仿宋_GB2312"/>
          <w:sz w:val="32"/>
          <w:szCs w:val="32"/>
        </w:rPr>
        <w:t xml:space="preserve">    政协委员调研视察活动项目经费是为了发挥政协委员的主体作用，发挥各民主党派、无党派人士的作用，发挥界别特点和优势，促进履行职能的制度化、规范化、程序化。</w:t>
      </w:r>
    </w:p>
    <w:p>
      <w:pPr>
        <w:spacing w:line="578" w:lineRule="exact"/>
        <w:rPr>
          <w:rFonts w:eastAsia="仿宋_GB2312"/>
          <w:sz w:val="32"/>
          <w:szCs w:val="32"/>
        </w:rPr>
      </w:pPr>
      <w:r>
        <w:rPr>
          <w:rFonts w:eastAsia="仿宋_GB2312"/>
          <w:sz w:val="32"/>
          <w:szCs w:val="32"/>
        </w:rPr>
        <w:t xml:space="preserve">    专委会业务经费是保障政协攀枝花市委员会9个专委会日常调研、考察，顺利完成当年任务。</w:t>
      </w:r>
    </w:p>
    <w:p>
      <w:pPr>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2.预算管理。</w:t>
      </w:r>
    </w:p>
    <w:p>
      <w:pPr>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严格按照财政要求及项目内容编制年初预算。政治协商会议项目经费年初预算100万元，为财政全额拨款，指标已全部下达到位，到位率100%。实际支付71.74万元，资金使用率为71.74%。委员调研视察活动项目经费年初预算108.36万元，为财政全额拨款，指标已全部下达到位，到位率100%。实际支付103.08万元，资金使用率为95.13%。专委会业务经费年初预算20万元，为财政全额拨款，指标已全部下达到位，到位率100%。实际支付20万元，资金使用率为100%。基层联络站专项经费年初预算40万元，为财政全额拨款，指标已全部下达到位，到位率100%。实际支付32.93万元，资金使用率为82.33%。新年茶话会经费年初预算6万元，为财政全额拨款，指标已全部下达到位，到位率100%。实际支付6万元，资金使用率为100%。人才专项经费年初预算4万元，为财政全额拨款，指标已全部下达到位，到位率100%。实际支付4万元，资金使用率为100%。市级挂职干部补助经费年初预算0.81万元，为财政全额拨款，指标已全部下达到位，到位率100%。实际支付0.81万元，资金使用率为100%。关工委工作经费年初预算0.63万元，为财政全额拨款，指标已全部下达到位，到位率100%。实际支付0.63万元，资金使用率为100%。干部异地体检经费年初预算1.79万元，为财政全额拨款，指标已全部下达到位，到位率100%。实际支付1.79万元，资金使用率为100%。办公楼搬迁经费年初预算40万元，为财政全额拨款，指标已全部下达到位，到位率100%。实际支付24.92万元，资金使用率为62.3%。综合业务费年初预算110万元，为财政全额拨款，指标已全部下达到位，到位率100%。实际支付93.57万元，资金使用率为87.2%。丧葬抚恤经费年初预算44.55万元，为财政全额拨款，指标已全部下达到位，到位率100%。实际支付44.55万元，资金使用率为100%。因公出国经费年初预算11.32万元，为财政全额拨款，指标已全部下达到位，到位率100%。实际支付11.29万元，资金使用率为99.73%。</w:t>
      </w:r>
    </w:p>
    <w:p>
      <w:pPr>
        <w:adjustRightInd w:val="0"/>
        <w:snapToGrid w:val="0"/>
        <w:spacing w:line="578" w:lineRule="exact"/>
        <w:ind w:firstLineChars="200" w:firstLine="640"/>
        <w:contextualSpacing/>
        <w:jc w:val="left"/>
        <w:rPr>
          <w:rFonts w:eastAsia="仿宋_GB2312"/>
          <w:sz w:val="32"/>
          <w:szCs w:val="32"/>
        </w:rPr>
      </w:pPr>
      <w:r>
        <w:rPr>
          <w:rFonts w:eastAsia="仿宋_GB2312"/>
          <w:sz w:val="32"/>
          <w:szCs w:val="32"/>
        </w:rPr>
        <w:t xml:space="preserve"> 3.财务管理。单位财务管理制度健全，严格执行财务管理制度，账务处理及时，会计核算规范。资金使用中，严格按照先申报、审批，后拨付等项目管理制度使用，完全符合《预算法》及财务管理相关制度，会计资料完整、真实，确保了专款专用、安全规范。</w:t>
      </w:r>
    </w:p>
    <w:p>
      <w:pPr>
        <w:spacing w:line="620" w:lineRule="exact"/>
        <w:ind w:firstLineChars="200" w:firstLine="640"/>
        <w:rPr>
          <w:rFonts w:eastAsia="仿宋_GB2312"/>
          <w:sz w:val="32"/>
          <w:szCs w:val="32"/>
        </w:rPr>
      </w:pPr>
      <w:r>
        <w:rPr>
          <w:rFonts w:eastAsia="仿宋_GB2312"/>
          <w:sz w:val="32"/>
          <w:szCs w:val="32"/>
        </w:rPr>
        <w:t xml:space="preserve"> 4.资产管理。2024年末。单位固定资产原值为632.11万元，较上年度增加1.79万元，是因为新购了一批固定资产。固定资产成新率为30.49%。建立健全固定资产管理制度；完善账簿登记、领取制度；定期做好固定资产的清查盘点工作。</w:t>
      </w:r>
    </w:p>
    <w:p>
      <w:pPr>
        <w:spacing w:line="620" w:lineRule="exact"/>
        <w:ind w:firstLineChars="200" w:firstLine="640"/>
        <w:rPr>
          <w:rFonts w:eastAsia="仿宋_GB2312"/>
          <w:sz w:val="32"/>
          <w:szCs w:val="32"/>
        </w:rPr>
      </w:pPr>
      <w:r>
        <w:rPr>
          <w:rFonts w:eastAsia="仿宋_GB2312"/>
          <w:sz w:val="32"/>
          <w:szCs w:val="32"/>
        </w:rPr>
        <w:t>5.采购管理。2024年单位政府采购支出12.08万元，其中政府采购货物支出1.11万元，政府采购服务支出10.97万元。政府采购授予中小企业合同金额10.38万元，其中授予小微企业合同金额5.38万元。</w:t>
      </w:r>
    </w:p>
    <w:p>
      <w:pPr>
        <w:spacing w:line="620" w:lineRule="exact"/>
        <w:ind w:firstLineChars="200" w:firstLine="640"/>
        <w:rPr>
          <w:rFonts w:eastAsia="仿宋_GB2312"/>
          <w:sz w:val="32"/>
          <w:szCs w:val="32"/>
        </w:rPr>
      </w:pPr>
      <w:r>
        <w:rPr>
          <w:rFonts w:eastAsia="仿宋_GB2312"/>
          <w:sz w:val="32"/>
          <w:szCs w:val="32"/>
        </w:rPr>
        <w:t>（二）部门预算项目绩效分析。填报以下数据，并根据部门预算绩效评价指标体系“项目绩效”涉及二、三级指标进行逐项绩效分析并评分，依次包括项目决策、项目执行、目标实现等情况。</w:t>
      </w:r>
    </w:p>
    <w:p>
      <w:pPr>
        <w:spacing w:line="620" w:lineRule="exact"/>
        <w:ind w:firstLineChars="200" w:firstLine="640"/>
        <w:rPr>
          <w:rFonts w:eastAsia="仿宋_GB2312"/>
          <w:sz w:val="32"/>
          <w:szCs w:val="32"/>
        </w:rPr>
      </w:pPr>
      <w:r>
        <w:rPr>
          <w:rFonts w:eastAsia="仿宋_GB2312"/>
          <w:sz w:val="32"/>
          <w:szCs w:val="32"/>
        </w:rPr>
        <w:t>常年项目绩效分析。该类项目总数6个，涉及预算总金额384.36万元，1—12月预算执行总体进度为85.16%，其中：预算结余率大于10%的项目共计3个。</w:t>
      </w:r>
    </w:p>
    <w:p>
      <w:pPr>
        <w:spacing w:line="620" w:lineRule="exact"/>
        <w:ind w:firstLineChars="200" w:firstLine="640"/>
        <w:rPr>
          <w:rFonts w:eastAsia="仿宋_GB2312"/>
          <w:sz w:val="32"/>
          <w:szCs w:val="32"/>
        </w:rPr>
      </w:pPr>
      <w:r>
        <w:rPr>
          <w:rFonts w:eastAsia="仿宋_GB2312"/>
          <w:sz w:val="32"/>
          <w:szCs w:val="32"/>
        </w:rPr>
        <w:t>阶段（含一次性）项目绩效分析。该类项目总数7个，涉及预算总金额103.1万元，1—12月预算执行总体进度为74.19%，其中：预算结余率大于10%的项目共计1个。</w:t>
      </w:r>
    </w:p>
    <w:p>
      <w:pPr>
        <w:spacing w:line="620" w:lineRule="exact"/>
        <w:ind w:firstLineChars="200" w:firstLine="640"/>
        <w:rPr>
          <w:rFonts w:eastAsia="仿宋_GB2312"/>
          <w:sz w:val="32"/>
          <w:szCs w:val="32"/>
        </w:rPr>
      </w:pPr>
      <w:r>
        <w:rPr>
          <w:rFonts w:eastAsia="仿宋_GB2312"/>
          <w:sz w:val="32"/>
          <w:szCs w:val="32"/>
        </w:rPr>
        <w:t>1.项目决策。严格按照单位履职范围及当年重点工作进行项目设置及预算申报。</w:t>
      </w:r>
    </w:p>
    <w:p>
      <w:pPr>
        <w:spacing w:line="620" w:lineRule="exact"/>
        <w:ind w:firstLineChars="200" w:firstLine="640"/>
        <w:rPr>
          <w:rFonts w:eastAsia="仿宋_GB2312"/>
          <w:sz w:val="32"/>
          <w:szCs w:val="32"/>
        </w:rPr>
      </w:pPr>
      <w:r>
        <w:rPr>
          <w:rFonts w:eastAsia="仿宋_GB2312"/>
          <w:sz w:val="32"/>
          <w:szCs w:val="32"/>
        </w:rPr>
        <w:t>2.项目执行。为保证项目的顺利实施，在使用资金过程中严格执行财务管理制度，每一笔经济业务都按照程序进行申报、审批，项目专款专用。对于重大的业务和事项，实行集体决策审批共同做出决定。</w:t>
      </w:r>
    </w:p>
    <w:p>
      <w:pPr>
        <w:spacing w:line="620" w:lineRule="exact"/>
        <w:ind w:firstLineChars="200" w:firstLine="640"/>
        <w:rPr>
          <w:rFonts w:eastAsia="仿宋_GB2312"/>
          <w:sz w:val="32"/>
          <w:szCs w:val="32"/>
        </w:rPr>
      </w:pPr>
      <w:r>
        <w:rPr>
          <w:rFonts w:eastAsia="仿宋_GB2312"/>
          <w:sz w:val="32"/>
          <w:szCs w:val="32"/>
        </w:rPr>
        <w:t>3.目标实现。</w:t>
      </w:r>
    </w:p>
    <w:p>
      <w:pPr>
        <w:spacing w:line="620" w:lineRule="exact"/>
        <w:ind w:firstLineChars="200" w:firstLine="640"/>
        <w:rPr>
          <w:rFonts w:eastAsia="仿宋_GB2312"/>
          <w:sz w:val="32"/>
          <w:szCs w:val="32"/>
        </w:rPr>
      </w:pPr>
      <w:r>
        <w:rPr>
          <w:rFonts w:eastAsia="仿宋_GB2312"/>
          <w:sz w:val="32"/>
          <w:szCs w:val="32"/>
        </w:rPr>
        <w:t>通过撰写调研报告、视察报告、社情民意信息为市委、市政府当好参谋，为全市发展提供好的建议和意见；通过认真履行政治协商、民主监督、参政议政职能，带领全市各政协组织和全体政协委员，发挥自身优势，为本市发展贡献智慧和力量，提高政协委员履职能力，发挥委员作用。</w:t>
      </w:r>
    </w:p>
    <w:p>
      <w:pPr>
        <w:spacing w:line="620" w:lineRule="exact"/>
        <w:ind w:firstLineChars="200" w:firstLine="640"/>
        <w:rPr>
          <w:rFonts w:eastAsia="仿宋_GB2312"/>
          <w:sz w:val="32"/>
          <w:szCs w:val="32"/>
        </w:rPr>
      </w:pPr>
      <w:r>
        <w:rPr>
          <w:rFonts w:eastAsia="仿宋_GB2312"/>
          <w:sz w:val="32"/>
          <w:szCs w:val="32"/>
        </w:rPr>
        <w:t>（三）绩效结果应用情况。</w:t>
      </w:r>
    </w:p>
    <w:p>
      <w:pPr>
        <w:spacing w:line="620" w:lineRule="exact"/>
        <w:ind w:firstLineChars="200" w:firstLine="640"/>
        <w:rPr>
          <w:rFonts w:eastAsia="仿宋_GB2312"/>
          <w:sz w:val="32"/>
          <w:szCs w:val="32"/>
        </w:rPr>
      </w:pPr>
      <w:r>
        <w:rPr>
          <w:rFonts w:eastAsia="仿宋_GB2312"/>
          <w:sz w:val="32"/>
          <w:szCs w:val="32"/>
        </w:rPr>
        <w:t xml:space="preserve">1.产出指标完成情况分析。2024年年初预算项目7个，追加项目6个，项目完成率83.71%。 </w:t>
      </w:r>
    </w:p>
    <w:p>
      <w:pPr>
        <w:spacing w:line="620" w:lineRule="exact"/>
        <w:ind w:firstLineChars="200" w:firstLine="640"/>
        <w:rPr>
          <w:rFonts w:eastAsia="仿宋_GB2312"/>
          <w:sz w:val="32"/>
          <w:szCs w:val="32"/>
        </w:rPr>
      </w:pPr>
      <w:r>
        <w:rPr>
          <w:rFonts w:eastAsia="仿宋_GB2312"/>
          <w:sz w:val="32"/>
          <w:szCs w:val="32"/>
        </w:rPr>
        <w:t>2.效益指标完成情况分析。13个项目均达到预期社会效益指标和可持续影响指标值。</w:t>
      </w:r>
    </w:p>
    <w:p>
      <w:pPr>
        <w:spacing w:line="620" w:lineRule="exact"/>
        <w:ind w:firstLineChars="200" w:firstLine="640"/>
        <w:rPr>
          <w:rFonts w:eastAsia="仿宋_GB2312"/>
          <w:sz w:val="32"/>
          <w:szCs w:val="32"/>
        </w:rPr>
      </w:pPr>
      <w:r>
        <w:rPr>
          <w:rFonts w:eastAsia="仿宋_GB2312"/>
          <w:sz w:val="32"/>
          <w:szCs w:val="32"/>
        </w:rPr>
        <w:t>3.满意度指标完成情况分析。各项目服务对象满意度均达到目标值，满意度高。</w:t>
      </w:r>
    </w:p>
    <w:p>
      <w:pPr>
        <w:spacing w:line="620" w:lineRule="exact"/>
        <w:ind w:firstLineChars="200" w:firstLine="640"/>
        <w:rPr>
          <w:rFonts w:eastAsia="仿宋_GB2312"/>
          <w:b/>
          <w:sz w:val="32"/>
          <w:szCs w:val="32"/>
        </w:rPr>
      </w:pPr>
      <w:r>
        <w:rPr>
          <w:rFonts w:eastAsia="仿宋_GB2312"/>
          <w:b/>
          <w:sz w:val="32"/>
          <w:szCs w:val="32"/>
        </w:rPr>
        <w:t>四、评价结论及建议</w:t>
      </w:r>
    </w:p>
    <w:p>
      <w:pPr>
        <w:spacing w:line="620" w:lineRule="exact"/>
        <w:ind w:firstLineChars="200" w:firstLine="640"/>
        <w:rPr>
          <w:rFonts w:eastAsia="仿宋_GB2312"/>
          <w:sz w:val="32"/>
          <w:szCs w:val="32"/>
        </w:rPr>
      </w:pPr>
      <w:r>
        <w:rPr>
          <w:rFonts w:eastAsia="仿宋_GB2312"/>
          <w:sz w:val="32"/>
          <w:szCs w:val="32"/>
        </w:rPr>
        <w:t>（一）评价结论。</w:t>
      </w:r>
    </w:p>
    <w:p>
      <w:pPr>
        <w:spacing w:line="620" w:lineRule="exact"/>
        <w:ind w:firstLineChars="200" w:firstLine="640"/>
        <w:rPr>
          <w:rFonts w:eastAsia="仿宋_GB2312"/>
          <w:sz w:val="32"/>
          <w:szCs w:val="32"/>
        </w:rPr>
      </w:pPr>
      <w:r>
        <w:rPr>
          <w:rFonts w:eastAsia="仿宋_GB2312"/>
          <w:sz w:val="32"/>
          <w:szCs w:val="32"/>
        </w:rPr>
        <w:t>我单位认真开展了自评工作。2024年我单位重视预算编制，严格执行预算，在执行财政预算的过程中，严格按照资金运行管理要求安排，积极履行职责，强化科学管理，保障政策落实到位，切实做到了资金专项专用，无截留、无挪用，有效发挥了财政资金的使用效率；继续强化了预算绩效意识,严格按照预算项目支出绩效目标开展相关工作，并及时调整项目预算执行进度，提升了预算管理水平，圆满完成各项工作任务。</w:t>
      </w:r>
    </w:p>
    <w:p>
      <w:pPr>
        <w:spacing w:line="620" w:lineRule="exact"/>
        <w:ind w:firstLineChars="200" w:firstLine="640"/>
        <w:rPr>
          <w:rFonts w:eastAsia="仿宋_GB2312"/>
          <w:sz w:val="32"/>
          <w:szCs w:val="32"/>
        </w:rPr>
      </w:pPr>
      <w:r>
        <w:rPr>
          <w:rFonts w:eastAsia="仿宋_GB2312"/>
          <w:sz w:val="32"/>
          <w:szCs w:val="32"/>
        </w:rPr>
        <w:t>（二）存在问题。</w:t>
      </w:r>
    </w:p>
    <w:p>
      <w:pPr>
        <w:spacing w:line="620" w:lineRule="exact"/>
        <w:ind w:firstLineChars="200" w:firstLine="640"/>
        <w:rPr>
          <w:rFonts w:eastAsia="仿宋_GB2312"/>
          <w:sz w:val="32"/>
          <w:szCs w:val="32"/>
        </w:rPr>
      </w:pPr>
      <w:r>
        <w:rPr>
          <w:rFonts w:eastAsia="仿宋_GB2312"/>
          <w:sz w:val="32"/>
          <w:szCs w:val="32"/>
        </w:rPr>
        <w:t>个别项目在执行过程中还存在未按规定时间分时分批使用，造成项目执行时间延后。</w:t>
      </w:r>
    </w:p>
    <w:p>
      <w:pPr>
        <w:spacing w:line="620" w:lineRule="exact"/>
        <w:ind w:firstLineChars="200" w:firstLine="640"/>
        <w:rPr>
          <w:rFonts w:eastAsia="仿宋_GB2312"/>
          <w:sz w:val="32"/>
          <w:szCs w:val="32"/>
        </w:rPr>
      </w:pPr>
      <w:r>
        <w:rPr>
          <w:rFonts w:eastAsia="仿宋_GB2312"/>
          <w:sz w:val="32"/>
          <w:szCs w:val="32"/>
        </w:rPr>
        <w:t>（三）改进建议。</w:t>
      </w:r>
    </w:p>
    <w:p>
      <w:pPr>
        <w:spacing w:line="620" w:lineRule="exact"/>
        <w:ind w:firstLineChars="200" w:firstLine="640"/>
        <w:rPr>
          <w:rFonts w:eastAsia="仿宋_GB2312"/>
          <w:sz w:val="32"/>
          <w:szCs w:val="32"/>
        </w:rPr>
      </w:pPr>
      <w:r>
        <w:rPr>
          <w:rFonts w:eastAsia="仿宋_GB2312"/>
          <w:sz w:val="32"/>
          <w:szCs w:val="32"/>
        </w:rPr>
        <w:t>我单位将结合工作实际，进一步加强绩效目标的事前、事中和事后管理，做到科学设置绩效目标，有效实施绩效目标期中监控，对出现偏差、进度滞后的项目及时进行调整和催促，深入推进财政资金绩效评价，提高资金完成率，强化绩效结果应用，充分发挥财政资金使用绩效，更好服务政协高质量履职工作。</w:t>
      </w:r>
    </w:p>
    <w:p>
      <w:pPr>
        <w:pStyle w:val="15"/>
        <w:rPr>
          <w:rFonts w:eastAsia="仿宋_GB2312"/>
          <w:sz w:val="32"/>
          <w:szCs w:val="32"/>
        </w:rPr>
      </w:pPr>
    </w:p>
    <w:p>
      <w:pPr>
        <w:rPr>
          <w:rFonts w:eastAsia="仿宋_GB2312"/>
          <w:sz w:val="32"/>
          <w:szCs w:val="32"/>
          <w:lang w:val="zh-CN"/>
        </w:rPr>
      </w:pPr>
      <w:r>
        <w:rPr>
          <w:rFonts w:eastAsia="仿宋_GB2312"/>
          <w:sz w:val="32"/>
          <w:szCs w:val="32"/>
          <w:lang w:val="zh-CN"/>
        </w:rPr>
        <w:t xml:space="preserve">     附表：</w:t>
      </w:r>
      <w:r>
        <w:rPr>
          <w:rFonts w:eastAsia="仿宋_GB2312"/>
          <w:sz w:val="32"/>
          <w:szCs w:val="32"/>
        </w:rPr>
        <w:t>部门</w:t>
      </w:r>
      <w:r>
        <w:rPr>
          <w:rFonts w:eastAsia="仿宋_GB2312"/>
          <w:sz w:val="32"/>
          <w:szCs w:val="32"/>
          <w:lang w:val="zh-CN"/>
        </w:rPr>
        <w:t>预算项目支出绩效自评表（2024年度）</w:t>
      </w:r>
    </w:p>
    <w:p>
      <w:pPr>
        <w:rPr>
          <w:rFonts w:ascii="黑体" w:eastAsia="黑体"/>
          <w:sz w:val="32"/>
          <w:szCs w:val="32"/>
        </w:rPr>
      </w:pPr>
    </w:p>
    <w:p>
      <w:pPr>
        <w:rPr>
          <w:rFonts w:ascii="黑体" w:eastAsia="黑体"/>
          <w:sz w:val="32"/>
          <w:szCs w:val="32"/>
        </w:rPr>
      </w:pPr>
      <w:r>
        <w:rPr>
          <w:rFonts w:ascii="黑体" w:eastAsia="黑体" w:hint="eastAsia"/>
          <w:sz w:val="32"/>
          <w:szCs w:val="32"/>
        </w:rPr>
        <w:t>附件2</w:t>
      </w:r>
    </w:p>
    <w:p>
      <w:pPr>
        <w:jc w:val="center"/>
        <w:rPr>
          <w:rFonts w:eastAsia="方正小标宋_GBK"/>
          <w:sz w:val="44"/>
          <w:szCs w:val="44"/>
        </w:rPr>
      </w:pPr>
      <w:r>
        <w:rPr>
          <w:rFonts w:eastAsia="方正小标宋_GBK"/>
          <w:sz w:val="44"/>
          <w:szCs w:val="44"/>
        </w:rPr>
        <w:t>专项预算项目绩效评价报告</w:t>
      </w:r>
    </w:p>
    <w:p>
      <w:pPr>
        <w:spacing w:line="620" w:lineRule="exact"/>
        <w:ind w:firstLineChars="200" w:firstLine="640"/>
        <w:rPr>
          <w:rFonts w:ascii="仿宋_GB2312" w:eastAsia="仿宋_GB2312"/>
          <w:b/>
          <w:sz w:val="32"/>
          <w:szCs w:val="32"/>
        </w:rPr>
      </w:pPr>
      <w:r>
        <w:rPr>
          <w:rFonts w:ascii="仿宋_GB2312" w:eastAsia="仿宋_GB2312" w:hint="eastAsia"/>
          <w:b/>
          <w:sz w:val="32"/>
          <w:szCs w:val="32"/>
        </w:rPr>
        <w:t>一、项目概况</w:t>
      </w:r>
    </w:p>
    <w:p>
      <w:pPr>
        <w:ind w:firstLineChars="200" w:firstLine="640"/>
        <w:rPr>
          <w:rFonts w:ascii="仿宋_GB2312" w:eastAsia="仿宋_GB2312"/>
          <w:sz w:val="32"/>
          <w:szCs w:val="32"/>
          <w:lang w:val="zh-CN"/>
        </w:rPr>
      </w:pPr>
      <w:r>
        <w:rPr>
          <w:rFonts w:ascii="仿宋_GB2312" w:eastAsia="仿宋_GB2312" w:hint="eastAsia"/>
          <w:b/>
          <w:sz w:val="32"/>
          <w:szCs w:val="32"/>
          <w:lang w:val="zh-CN"/>
        </w:rPr>
        <w:t>（一）设立背景及基本情况。</w:t>
      </w:r>
    </w:p>
    <w:p>
      <w:pPr>
        <w:pStyle w:val="18"/>
        <w:spacing w:beforeLines="0" w:before="93"/>
        <w:ind w:left="420" w:firstLine="660"/>
        <w:rPr>
          <w:sz w:val="32"/>
          <w:szCs w:val="32"/>
        </w:rPr>
      </w:pPr>
      <w:r>
        <w:rPr>
          <w:rFonts w:hint="eastAsia"/>
          <w:sz w:val="32"/>
          <w:szCs w:val="32"/>
        </w:rPr>
        <w:t>政治</w:t>
      </w:r>
      <w:r>
        <w:rPr>
          <w:rFonts w:hint="eastAsia"/>
          <w:spacing w:val="-6"/>
          <w:sz w:val="32"/>
          <w:szCs w:val="32"/>
        </w:rPr>
        <w:t>协商会议项目经费是保障</w:t>
      </w:r>
      <w:r>
        <w:rPr>
          <w:rFonts w:hint="eastAsia"/>
          <w:sz w:val="32"/>
          <w:szCs w:val="32"/>
        </w:rPr>
        <w:t>中国人民政治协商会议四川省攀枝花市委员会</w:t>
      </w:r>
      <w:r>
        <w:rPr>
          <w:rFonts w:hint="eastAsia"/>
          <w:spacing w:val="-6"/>
          <w:sz w:val="32"/>
          <w:szCs w:val="32"/>
        </w:rPr>
        <w:t>全体会议、常委会会议、主席会议、秘书长会议和其他重要会议的正常召开，是本部门常规性项目。</w:t>
      </w:r>
    </w:p>
    <w:p>
      <w:pPr>
        <w:ind w:firstLineChars="200" w:firstLine="640"/>
        <w:rPr>
          <w:rFonts w:ascii="仿宋_GB2312" w:eastAsia="仿宋_GB2312"/>
          <w:b/>
          <w:sz w:val="32"/>
          <w:szCs w:val="32"/>
          <w:lang w:val="zh-CN"/>
        </w:rPr>
      </w:pPr>
      <w:r>
        <w:rPr>
          <w:rFonts w:ascii="仿宋_GB2312" w:eastAsia="仿宋_GB2312" w:hint="eastAsia"/>
          <w:sz w:val="32"/>
          <w:szCs w:val="32"/>
        </w:rPr>
        <w:t>（二）</w:t>
      </w:r>
      <w:r>
        <w:rPr>
          <w:rFonts w:ascii="仿宋_GB2312" w:eastAsia="仿宋_GB2312" w:hint="eastAsia"/>
          <w:b/>
          <w:sz w:val="32"/>
          <w:szCs w:val="32"/>
          <w:lang w:val="zh-CN"/>
        </w:rPr>
        <w:t>实施目的及支持方向。</w:t>
      </w:r>
    </w:p>
    <w:p>
      <w:pPr>
        <w:ind w:firstLineChars="200" w:firstLine="616"/>
        <w:rPr>
          <w:rFonts w:ascii="仿宋_GB2312" w:eastAsia="仿宋_GB2312"/>
          <w:spacing w:val="-6"/>
          <w:sz w:val="32"/>
          <w:szCs w:val="32"/>
        </w:rPr>
      </w:pPr>
      <w:r>
        <w:rPr>
          <w:rFonts w:ascii="仿宋_GB2312" w:eastAsia="仿宋_GB2312" w:hint="eastAsia"/>
          <w:spacing w:val="-6"/>
          <w:sz w:val="32"/>
          <w:szCs w:val="32"/>
        </w:rPr>
        <w:t>政治协商会议项目是为了让全市政协委员更好地“凝心聚力”、“参政议政”，为攀枝花市的建设建言献策。</w:t>
      </w:r>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（三）预算安排及分配管理。</w:t>
      </w:r>
    </w:p>
    <w:p>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sz w:val="32"/>
          <w:szCs w:val="32"/>
        </w:rPr>
        <w:t>为保证项目的顺利实施，中国人民政治协商会议四川省攀枝花市委员会办公室在使用资金过程中严格执行财务管理制度，每一笔经济业务都按照程序进行申报、审批，项目专款专用。对于重大的业务和事项，实行集体决策审批共同做出决定。</w:t>
      </w:r>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（四）项目绩效目标设置。</w:t>
      </w:r>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2024年政治协商会议项目经费年初预算100万元，为财政全额拨款，指标已全部下达到位，到位率100%。实际支付71.74万元，资金使用率为71.74%。</w:t>
      </w:r>
    </w:p>
    <w:p>
      <w:pPr>
        <w:spacing w:line="620" w:lineRule="exact"/>
        <w:ind w:firstLineChars="200" w:firstLine="640"/>
        <w:rPr>
          <w:rFonts w:ascii="仿宋_GB2312" w:eastAsia="仿宋_GB2312"/>
          <w:b/>
          <w:sz w:val="32"/>
          <w:szCs w:val="32"/>
        </w:rPr>
      </w:pPr>
      <w:r>
        <w:rPr>
          <w:rFonts w:ascii="仿宋_GB2312" w:eastAsia="仿宋_GB2312" w:hint="eastAsia"/>
          <w:b/>
          <w:sz w:val="32"/>
          <w:szCs w:val="32"/>
        </w:rPr>
        <w:t>二、评价实施</w:t>
      </w:r>
    </w:p>
    <w:p>
      <w:pPr>
        <w:ind w:firstLineChars="200" w:firstLine="640"/>
        <w:rPr>
          <w:rFonts w:ascii="仿宋_GB2312" w:eastAsia="仿宋_GB2312"/>
          <w:sz w:val="32"/>
          <w:szCs w:val="32"/>
        </w:rPr>
      </w:pPr>
      <w:r>
        <w:rPr>
          <w:rFonts w:ascii="仿宋_GB2312" w:eastAsia="仿宋_GB2312" w:hint="eastAsia"/>
          <w:sz w:val="32"/>
          <w:szCs w:val="32"/>
        </w:rPr>
        <w:t>（一）评价目的。</w:t>
      </w:r>
    </w:p>
    <w:p>
      <w:pPr>
        <w:ind w:firstLineChars="200" w:firstLine="616"/>
        <w:rPr>
          <w:rFonts w:ascii="仿宋_GB2312" w:eastAsia="仿宋_GB2312"/>
          <w:sz w:val="32"/>
          <w:szCs w:val="32"/>
          <w:lang w:val="zh-CN"/>
        </w:rPr>
      </w:pPr>
      <w:r>
        <w:rPr>
          <w:rFonts w:ascii="仿宋_GB2312" w:eastAsia="仿宋_GB2312" w:hint="eastAsia"/>
          <w:spacing w:val="-6"/>
          <w:sz w:val="32"/>
          <w:szCs w:val="32"/>
        </w:rPr>
        <w:t>保障</w:t>
      </w:r>
      <w:r>
        <w:rPr>
          <w:rFonts w:ascii="仿宋_GB2312" w:eastAsia="仿宋_GB2312" w:hint="eastAsia"/>
          <w:sz w:val="32"/>
          <w:szCs w:val="32"/>
        </w:rPr>
        <w:t>中国人民政治协商会议四川省攀枝花市委员会</w:t>
      </w:r>
      <w:r>
        <w:rPr>
          <w:rFonts w:ascii="仿宋_GB2312" w:eastAsia="仿宋_GB2312" w:hint="eastAsia"/>
          <w:spacing w:val="-6"/>
          <w:sz w:val="32"/>
          <w:szCs w:val="32"/>
        </w:rPr>
        <w:t>全体会议、常委会会议、主席会议、秘书长会议和其他重要会议的正常召开。</w:t>
      </w:r>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（二）预设问题及评价重点。政治协商会议项目经费申报与实际执行情况相符。</w:t>
      </w:r>
    </w:p>
    <w:p>
      <w:pPr>
        <w:ind w:firstLineChars="200" w:firstLine="640"/>
        <w:rPr>
          <w:rFonts w:ascii="仿宋_GB2312" w:eastAsia="仿宋_GB2312"/>
          <w:sz w:val="32"/>
          <w:szCs w:val="32"/>
          <w:lang w:val="zh-CN"/>
        </w:rPr>
      </w:pPr>
      <w:r>
        <w:rPr>
          <w:rFonts w:ascii="仿宋_GB2312" w:eastAsia="仿宋_GB2312" w:hint="eastAsia"/>
          <w:sz w:val="32"/>
          <w:szCs w:val="32"/>
        </w:rPr>
        <w:t>（三）评价选点。</w:t>
      </w:r>
      <w:r>
        <w:rPr>
          <w:rFonts w:ascii="仿宋_GB2312" w:eastAsia="仿宋_GB2312" w:hint="eastAsia"/>
          <w:sz w:val="32"/>
          <w:szCs w:val="32"/>
          <w:lang w:val="zh-CN"/>
        </w:rPr>
        <w:t>项目绩效自评情况真实。</w:t>
      </w:r>
    </w:p>
    <w:p>
      <w:pPr>
        <w:ind w:firstLineChars="200" w:firstLine="640"/>
        <w:rPr>
          <w:rFonts w:ascii="仿宋_GB2312" w:eastAsia="仿宋_GB2312"/>
          <w:sz w:val="32"/>
          <w:szCs w:val="32"/>
          <w:lang w:val="zh-CN"/>
        </w:rPr>
      </w:pPr>
      <w:r>
        <w:rPr>
          <w:rFonts w:ascii="仿宋_GB2312" w:eastAsia="仿宋_GB2312" w:hint="eastAsia"/>
          <w:sz w:val="32"/>
          <w:szCs w:val="32"/>
        </w:rPr>
        <w:t>（四）评价方法。</w:t>
      </w:r>
      <w:r>
        <w:rPr>
          <w:rFonts w:ascii="仿宋_GB2312" w:eastAsia="仿宋_GB2312" w:hint="eastAsia"/>
          <w:sz w:val="32"/>
          <w:szCs w:val="32"/>
          <w:lang w:val="zh-CN"/>
        </w:rPr>
        <w:t>根据项目情况和评价重点，单位自评法、座谈调研法等多种方法。</w:t>
      </w:r>
    </w:p>
    <w:p>
      <w:pPr>
        <w:ind w:firstLineChars="200" w:firstLine="640"/>
        <w:rPr>
          <w:rFonts w:ascii="仿宋_GB2312" w:eastAsia="仿宋_GB2312"/>
          <w:sz w:val="32"/>
          <w:szCs w:val="32"/>
          <w:lang w:val="zh-CN"/>
        </w:rPr>
      </w:pPr>
      <w:r>
        <w:rPr>
          <w:rFonts w:ascii="仿宋_GB2312" w:eastAsia="仿宋_GB2312" w:hint="eastAsia"/>
          <w:sz w:val="32"/>
          <w:szCs w:val="32"/>
        </w:rPr>
        <w:t>（五）评价组织。</w:t>
      </w:r>
      <w:r>
        <w:rPr>
          <w:rFonts w:ascii="仿宋_GB2312" w:eastAsia="仿宋_GB2312" w:hint="eastAsia"/>
          <w:sz w:val="32"/>
          <w:szCs w:val="32"/>
          <w:lang w:val="zh-CN"/>
        </w:rPr>
        <w:t>项目负责人、分管领导及驻机关纪检组。以项目完成数量级质量情况为准。</w:t>
      </w:r>
    </w:p>
    <w:p>
      <w:pPr>
        <w:spacing w:line="620" w:lineRule="exact"/>
        <w:ind w:firstLineChars="200" w:firstLine="640"/>
        <w:rPr>
          <w:rFonts w:ascii="仿宋_GB2312" w:eastAsia="仿宋_GB2312"/>
          <w:b/>
          <w:sz w:val="32"/>
          <w:szCs w:val="32"/>
        </w:rPr>
      </w:pPr>
      <w:r>
        <w:rPr>
          <w:rFonts w:ascii="仿宋_GB2312" w:eastAsia="仿宋_GB2312" w:hint="eastAsia"/>
          <w:b/>
          <w:sz w:val="32"/>
          <w:szCs w:val="32"/>
        </w:rPr>
        <w:t>三、绩效分析</w:t>
        <w:tab/>
      </w:r>
    </w:p>
    <w:p>
      <w:pPr>
        <w:spacing w:line="620" w:lineRule="exact"/>
        <w:ind w:firstLineChars="200" w:firstLine="640"/>
        <w:rPr>
          <w:rFonts w:ascii="仿宋_GB2312" w:eastAsia="仿宋_GB2312"/>
          <w:sz w:val="32"/>
          <w:szCs w:val="32"/>
        </w:rPr>
      </w:pPr>
      <w:r>
        <w:rPr>
          <w:rFonts w:ascii="仿宋_GB2312" w:eastAsia="仿宋_GB2312" w:hint="eastAsia"/>
          <w:sz w:val="32"/>
          <w:szCs w:val="32"/>
        </w:rPr>
        <w:t>根据项目预算绩效评价指标体系通用指标、专用指标、个性指标涉及二、三级指标进行逐项绩效分析并评分。</w:t>
      </w:r>
    </w:p>
    <w:p>
      <w:pPr>
        <w:spacing w:line="620" w:lineRule="exact"/>
        <w:ind w:firstLineChars="200" w:firstLine="640"/>
        <w:rPr>
          <w:rFonts w:ascii="仿宋_GB2312" w:eastAsia="仿宋_GB2312"/>
          <w:sz w:val="32"/>
          <w:szCs w:val="32"/>
        </w:rPr>
      </w:pPr>
      <w:r>
        <w:rPr>
          <w:rFonts w:ascii="仿宋_GB2312" w:eastAsia="仿宋_GB2312" w:hint="eastAsia"/>
          <w:sz w:val="32"/>
          <w:szCs w:val="32"/>
        </w:rPr>
        <w:t>（一）通用指标绩效分析。</w:t>
      </w:r>
    </w:p>
    <w:p>
      <w:pPr>
        <w:ind w:firstLineChars="200" w:firstLine="640"/>
        <w:rPr>
          <w:rFonts w:ascii="仿宋_GB2312" w:eastAsia="仿宋_GB2312"/>
          <w:sz w:val="32"/>
          <w:szCs w:val="32"/>
          <w:lang w:val="zh-CN"/>
        </w:rPr>
      </w:pPr>
      <w:r>
        <w:rPr>
          <w:rFonts w:ascii="仿宋_GB2312" w:eastAsia="仿宋_GB2312" w:hint="eastAsia"/>
          <w:sz w:val="32"/>
          <w:szCs w:val="32"/>
        </w:rPr>
        <w:t>1.项目决策。</w:t>
      </w:r>
      <w:r>
        <w:rPr>
          <w:rFonts w:ascii="仿宋_GB2312" w:eastAsia="仿宋_GB2312" w:hint="eastAsia"/>
          <w:sz w:val="32"/>
          <w:szCs w:val="32"/>
          <w:lang w:val="zh-CN"/>
        </w:rPr>
        <w:t>根据常规性会议、市委、市政府工作任务进行项目申报。</w:t>
      </w:r>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2.项目管理。严格按照先申报、审批，后拨付等项目管理制度使用，完全符合《预算法》及财务管理相关制度，会计资料完整、真实，确保了专款专用、安全规范。</w:t>
      </w:r>
    </w:p>
    <w:p>
      <w:pPr>
        <w:widowControl/>
        <w:adjustRightInd w:val="0"/>
        <w:snapToGrid w:val="0"/>
        <w:spacing w:line="560" w:lineRule="exact"/>
        <w:ind w:firstLineChars="200" w:firstLine="640"/>
        <w:contextualSpacing/>
        <w:jc w:val="left"/>
        <w:rPr>
          <w:rFonts w:eastAsia="仿宋_GB2312"/>
          <w:sz w:val="32"/>
          <w:szCs w:val="32"/>
        </w:rPr>
      </w:pPr>
      <w:r>
        <w:rPr>
          <w:rFonts w:eastAsia="仿宋_GB2312"/>
          <w:sz w:val="32"/>
          <w:szCs w:val="32"/>
        </w:rPr>
        <w:t xml:space="preserve">3.项目实施。截止2024年12月31日，政治协商会议项目经费年初预算100万元，财政下达资金100万元，资金到位率100%；支出71.74万元，资金执行率71.74%。  </w:t>
      </w:r>
    </w:p>
    <w:p>
      <w:pPr>
        <w:autoSpaceDE w:val="0"/>
        <w:autoSpaceDN w:val="0"/>
        <w:adjustRightInd w:val="0"/>
        <w:spacing w:line="600" w:lineRule="exact"/>
        <w:ind w:firstLineChars="200" w:firstLine="640"/>
        <w:jc w:val="left"/>
        <w:rPr>
          <w:rFonts w:eastAsia="仿宋_GB2312"/>
          <w:bCs/>
          <w:sz w:val="32"/>
          <w:szCs w:val="32"/>
        </w:rPr>
      </w:pPr>
      <w:r>
        <w:rPr>
          <w:rFonts w:eastAsia="仿宋_GB2312"/>
          <w:sz w:val="32"/>
          <w:szCs w:val="32"/>
        </w:rPr>
        <w:t>4.项目结果。通过项目的实施，</w:t>
      </w:r>
      <w:r>
        <w:rPr>
          <w:rFonts w:eastAsia="仿宋_GB2312"/>
          <w:bCs/>
          <w:sz w:val="32"/>
          <w:szCs w:val="32"/>
        </w:rPr>
        <w:t>围绕大力实施市委总体发展战略各项部署，开展</w:t>
      </w:r>
      <w:r>
        <w:rPr>
          <w:rFonts w:eastAsia="仿宋_GB2312"/>
          <w:sz w:val="32"/>
          <w:szCs w:val="32"/>
        </w:rPr>
        <w:t>专项行动，</w:t>
      </w:r>
      <w:r>
        <w:rPr>
          <w:rFonts w:eastAsia="仿宋_GB2312"/>
          <w:bCs/>
          <w:sz w:val="32"/>
          <w:szCs w:val="32"/>
        </w:rPr>
        <w:t xml:space="preserve">更好的发挥政协政治协商、民主监督、参政议政职能。 </w:t>
      </w:r>
    </w:p>
    <w:p>
      <w:pPr>
        <w:spacing w:line="620" w:lineRule="exact"/>
        <w:ind w:firstLineChars="200" w:firstLine="640"/>
        <w:rPr>
          <w:rFonts w:eastAsia="仿宋_GB2312"/>
          <w:sz w:val="32"/>
          <w:szCs w:val="32"/>
        </w:rPr>
      </w:pPr>
      <w:r>
        <w:rPr>
          <w:rFonts w:eastAsia="仿宋_GB2312"/>
          <w:sz w:val="32"/>
          <w:szCs w:val="32"/>
        </w:rPr>
        <w:t>（二）专用指标绩效分析。根据专项预算项目资金支持对象选择所属指标进行绩效分析。支持对象包括产业发展、民生保障、基础设施、行政运转等方面。</w:t>
      </w:r>
    </w:p>
    <w:p>
      <w:pPr>
        <w:ind w:firstLineChars="200" w:firstLine="640"/>
        <w:rPr>
          <w:rFonts w:eastAsia="仿宋_GB2312"/>
          <w:sz w:val="32"/>
          <w:szCs w:val="32"/>
          <w:lang w:val="zh-CN"/>
        </w:rPr>
      </w:pPr>
      <w:r>
        <w:rPr>
          <w:rFonts w:eastAsia="仿宋_GB2312"/>
          <w:sz w:val="32"/>
          <w:szCs w:val="32"/>
        </w:rPr>
        <w:t>1.产业发展。</w:t>
      </w:r>
      <w:r>
        <w:rPr>
          <w:rFonts w:eastAsia="仿宋_GB2312"/>
          <w:sz w:val="32"/>
          <w:szCs w:val="32"/>
          <w:lang w:val="zh-CN"/>
        </w:rPr>
        <w:t>政协委员建言献策，推动攀枝花经济发展。</w:t>
      </w:r>
    </w:p>
    <w:p>
      <w:pPr>
        <w:ind w:firstLineChars="200" w:firstLine="640"/>
        <w:rPr>
          <w:rFonts w:eastAsia="仿宋_GB2312"/>
          <w:sz w:val="32"/>
          <w:szCs w:val="32"/>
          <w:lang w:val="zh-CN"/>
        </w:rPr>
      </w:pPr>
      <w:r>
        <w:rPr>
          <w:rFonts w:eastAsia="仿宋_GB2312"/>
          <w:sz w:val="32"/>
          <w:szCs w:val="32"/>
        </w:rPr>
        <w:t>2.民生保障。</w:t>
      </w:r>
      <w:r>
        <w:rPr>
          <w:rFonts w:eastAsia="仿宋_GB2312"/>
          <w:sz w:val="32"/>
          <w:szCs w:val="32"/>
          <w:lang w:val="zh-CN"/>
        </w:rPr>
        <w:t>政协委员参政议政、建言献策，更好地保障民生。</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（三）个性指标绩效分析。政治协商会议项目经费申报与实际执行情况相符。</w:t>
      </w:r>
    </w:p>
    <w:p>
      <w:pPr>
        <w:spacing w:line="620" w:lineRule="exact"/>
        <w:ind w:firstLineChars="200" w:firstLine="640"/>
        <w:rPr>
          <w:rFonts w:eastAsia="仿宋_GB2312"/>
          <w:b/>
          <w:sz w:val="32"/>
          <w:szCs w:val="32"/>
        </w:rPr>
      </w:pPr>
      <w:r>
        <w:rPr>
          <w:rFonts w:eastAsia="仿宋_GB2312"/>
          <w:b/>
          <w:sz w:val="32"/>
          <w:szCs w:val="32"/>
        </w:rPr>
        <w:t>四、评价结论</w:t>
      </w:r>
    </w:p>
    <w:p>
      <w:pPr>
        <w:widowControl/>
        <w:adjustRightInd w:val="0"/>
        <w:snapToGrid w:val="0"/>
        <w:spacing w:line="580" w:lineRule="exact"/>
        <w:ind w:firstLineChars="200" w:firstLine="640"/>
        <w:contextualSpacing/>
        <w:jc w:val="left"/>
        <w:rPr>
          <w:rStyle w:val="0"/>
          <w:rFonts w:eastAsia="仿宋_GB2312"/>
          <w:kern w:val="0"/>
          <w:sz w:val="32"/>
          <w:szCs w:val="32"/>
          <w:lang w:val="zh-CN"/>
        </w:rPr>
      </w:pPr>
      <w:r>
        <w:rPr>
          <w:rStyle w:val="0"/>
          <w:rFonts w:eastAsia="仿宋_GB2312"/>
          <w:kern w:val="0"/>
          <w:sz w:val="32"/>
          <w:szCs w:val="32"/>
        </w:rPr>
        <w:t>我部门重视政治协商会议项目经费预算编制，严格执行预算，在执行财政预算的过程中，严格按照资金运行管理要求安排，积极履行职责，切实做到了资金专项专用，无截留、无挪用，有效发挥了财政资金的使用效率。</w:t>
      </w:r>
    </w:p>
    <w:p>
      <w:pPr>
        <w:spacing w:line="620" w:lineRule="exact"/>
        <w:ind w:firstLineChars="200" w:firstLine="640"/>
        <w:rPr>
          <w:rFonts w:eastAsia="仿宋_GB2312"/>
          <w:b/>
          <w:sz w:val="32"/>
          <w:szCs w:val="32"/>
        </w:rPr>
      </w:pPr>
      <w:r>
        <w:rPr>
          <w:rFonts w:eastAsia="仿宋_GB2312"/>
          <w:b/>
          <w:sz w:val="32"/>
          <w:szCs w:val="32"/>
        </w:rPr>
        <w:t>五、存在主要问题</w:t>
      </w:r>
    </w:p>
    <w:p>
      <w:pPr>
        <w:widowControl/>
        <w:adjustRightInd w:val="0"/>
        <w:snapToGrid w:val="0"/>
        <w:spacing w:line="580" w:lineRule="exact"/>
        <w:ind w:firstLineChars="200" w:firstLine="640"/>
        <w:contextualSpacing/>
        <w:jc w:val="left"/>
        <w:rPr>
          <w:rFonts w:eastAsia="仿宋_GB2312"/>
          <w:sz w:val="32"/>
          <w:szCs w:val="32"/>
        </w:rPr>
      </w:pPr>
      <w:r>
        <w:rPr>
          <w:rFonts w:eastAsia="仿宋_GB2312"/>
          <w:kern w:val="0"/>
          <w:sz w:val="32"/>
          <w:szCs w:val="32"/>
        </w:rPr>
        <w:t>要保障项目规范有效地实施，还面临着许多困难和问题：</w:t>
      </w:r>
      <w:r>
        <w:rPr>
          <w:rFonts w:eastAsia="仿宋_GB2312"/>
          <w:sz w:val="32"/>
          <w:szCs w:val="32"/>
        </w:rPr>
        <w:t>本部门在预算项目执行中，还存在项目推进有滞后的情况。</w:t>
      </w:r>
    </w:p>
    <w:p>
      <w:pPr>
        <w:spacing w:line="620" w:lineRule="exact"/>
        <w:ind w:firstLineChars="200" w:firstLine="640"/>
        <w:rPr>
          <w:rFonts w:eastAsia="仿宋_GB2312"/>
          <w:b/>
          <w:sz w:val="32"/>
          <w:szCs w:val="32"/>
        </w:rPr>
      </w:pPr>
      <w:r>
        <w:rPr>
          <w:rFonts w:eastAsia="仿宋_GB2312"/>
          <w:b/>
          <w:sz w:val="32"/>
          <w:szCs w:val="32"/>
        </w:rPr>
        <w:t>六、改进建议</w:t>
      </w:r>
    </w:p>
    <w:p>
      <w:pPr>
        <w:pStyle w:val="36"/>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一是继续加强项目资金的使用管理，继续完善相关的管理制度；二是加强对绩效评价工作的管理细化。</w:t>
      </w:r>
    </w:p>
    <w:p>
      <w:pPr>
        <w:spacing w:line="578" w:lineRule="exact"/>
        <w:ind w:firstLine="640"/>
        <w:rPr>
          <w:rFonts w:eastAsia="仿宋_GB2312"/>
          <w:kern w:val="0"/>
          <w:sz w:val="32"/>
          <w:szCs w:val="32"/>
        </w:rPr>
      </w:pPr>
    </w:p>
    <w:p>
      <w:pPr>
        <w:spacing w:line="578" w:lineRule="exact"/>
        <w:ind w:firstLine="640"/>
        <w:rPr>
          <w:rFonts w:eastAsia="仿宋_GB2312"/>
          <w:kern w:val="0"/>
          <w:sz w:val="32"/>
          <w:szCs w:val="32"/>
        </w:rPr>
      </w:pPr>
      <w:bookmarkStart w:id="84" w:name="_Toc15396618"/>
      <w:r>
        <w:rPr>
          <w:rFonts w:eastAsia="仿宋_GB2312"/>
          <w:kern w:val="0"/>
          <w:sz w:val="32"/>
          <w:szCs w:val="32"/>
        </w:rPr>
        <w:br w:type="page"/>
      </w:r>
    </w:p>
    <w:p>
      <w:pPr>
        <w:pStyle w:val="15"/>
      </w:pPr>
    </w:p>
    <w:p>
      <w:pPr>
        <w:jc w:val="center"/>
        <w:rPr>
          <w:rFonts w:ascii="方正小标宋_GBK" w:eastAsia="方正小标宋_GBK"/>
          <w:sz w:val="44"/>
          <w:szCs w:val="44"/>
        </w:rPr>
      </w:pPr>
      <w:r>
        <w:rPr>
          <w:rFonts w:ascii="方正小标宋_GBK" w:eastAsia="方正小标宋_GBK" w:hint="eastAsia"/>
          <w:sz w:val="44"/>
          <w:szCs w:val="44"/>
        </w:rPr>
        <w:t>专项预算项目绩效评价报告</w:t>
      </w:r>
    </w:p>
    <w:p>
      <w:pPr>
        <w:rPr>
          <w:rFonts w:eastAsia="仿宋_GB2312"/>
          <w:sz w:val="32"/>
          <w:szCs w:val="32"/>
          <w:lang w:val="zh-CN"/>
        </w:rPr>
      </w:pPr>
    </w:p>
    <w:p>
      <w:pPr>
        <w:ind w:firstLineChars="200" w:firstLine="640"/>
        <w:rPr>
          <w:rFonts w:eastAsia="仿宋_GB2312"/>
          <w:b/>
          <w:sz w:val="32"/>
          <w:szCs w:val="32"/>
          <w:lang w:val="zh-CN"/>
        </w:rPr>
      </w:pPr>
      <w:r>
        <w:rPr>
          <w:rFonts w:eastAsia="仿宋_GB2312"/>
          <w:b/>
          <w:sz w:val="32"/>
          <w:szCs w:val="32"/>
          <w:lang w:val="zh-CN"/>
        </w:rPr>
        <w:t>一、项目概况</w:t>
      </w:r>
    </w:p>
    <w:p>
      <w:pPr>
        <w:ind w:firstLineChars="200" w:firstLine="640"/>
        <w:rPr>
          <w:rFonts w:eastAsia="仿宋_GB2312"/>
          <w:sz w:val="32"/>
          <w:szCs w:val="32"/>
          <w:lang w:val="zh-CN"/>
        </w:rPr>
      </w:pPr>
      <w:r>
        <w:rPr>
          <w:rFonts w:eastAsia="仿宋_GB2312"/>
          <w:b/>
          <w:sz w:val="32"/>
          <w:szCs w:val="32"/>
          <w:lang w:val="zh-CN"/>
        </w:rPr>
        <w:t>（一）设立背景及基本情况。</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政协委员调研视察活动项目经费是指在围绕市委、市政府中心工作，开展学习、调研、考察等各项活动，更好地发挥好政协委员的主体作用，发挥各政协联系单位作用，促进履职能力提升。属于常规性项目。</w:t>
      </w:r>
    </w:p>
    <w:p>
      <w:pPr>
        <w:ind w:firstLineChars="200" w:firstLine="640"/>
        <w:rPr>
          <w:rFonts w:eastAsia="仿宋_GB2312"/>
          <w:b/>
          <w:sz w:val="32"/>
          <w:szCs w:val="32"/>
          <w:lang w:val="zh-CN"/>
        </w:rPr>
      </w:pPr>
      <w:r>
        <w:rPr>
          <w:rFonts w:eastAsia="仿宋_GB2312"/>
          <w:b/>
          <w:sz w:val="32"/>
          <w:szCs w:val="32"/>
          <w:lang w:val="zh-CN"/>
        </w:rPr>
        <w:t>（二）实施目的及支持方向。</w:t>
      </w:r>
    </w:p>
    <w:p>
      <w:pPr>
        <w:ind w:firstLineChars="200" w:firstLine="640"/>
        <w:rPr>
          <w:rFonts w:eastAsia="仿宋_GB2312"/>
          <w:spacing w:val="-6"/>
          <w:sz w:val="32"/>
          <w:szCs w:val="32"/>
        </w:rPr>
      </w:pPr>
      <w:r>
        <w:rPr>
          <w:rFonts w:eastAsia="仿宋_GB2312"/>
          <w:sz w:val="32"/>
          <w:szCs w:val="32"/>
        </w:rPr>
        <w:t>政协委员调研视察活动项目</w:t>
      </w:r>
      <w:r>
        <w:rPr>
          <w:rFonts w:eastAsia="仿宋_GB2312"/>
          <w:spacing w:val="-6"/>
          <w:sz w:val="32"/>
          <w:szCs w:val="32"/>
        </w:rPr>
        <w:t>是为了更好地提升全市政协委员的履职能力，“凝心聚力”、“参政议政”，为攀枝花市的建设建言献策。</w:t>
      </w:r>
    </w:p>
    <w:p>
      <w:pPr>
        <w:ind w:firstLineChars="200" w:firstLine="640"/>
        <w:rPr>
          <w:rFonts w:eastAsia="仿宋_GB2312"/>
          <w:b/>
          <w:sz w:val="32"/>
          <w:szCs w:val="32"/>
          <w:lang w:val="zh-CN"/>
        </w:rPr>
      </w:pPr>
      <w:r>
        <w:rPr>
          <w:rFonts w:eastAsia="仿宋_GB2312"/>
          <w:b/>
          <w:sz w:val="32"/>
          <w:szCs w:val="32"/>
          <w:lang w:val="zh-CN"/>
        </w:rPr>
        <w:t xml:space="preserve"> （三）预算安排及分配管理。</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sz w:val="32"/>
          <w:szCs w:val="32"/>
        </w:rPr>
        <w:t>为保证项目的顺利实施，中国人民政治协商会议四川省攀枝花市委员会办公室在使用资金过程中严格执行财务管理制度，每一笔经济业务都按照程序进行申报、审批，项目专款专用。对于重大的业务和事项，实行集体决策审批共同做出决定。</w:t>
      </w:r>
    </w:p>
    <w:p>
      <w:pPr>
        <w:ind w:firstLineChars="200" w:firstLine="640"/>
        <w:rPr>
          <w:rFonts w:eastAsia="仿宋_GB2312"/>
          <w:b/>
          <w:sz w:val="32"/>
          <w:szCs w:val="32"/>
          <w:lang w:val="zh-CN"/>
        </w:rPr>
      </w:pPr>
      <w:r>
        <w:rPr>
          <w:rFonts w:eastAsia="仿宋_GB2312"/>
          <w:b/>
          <w:sz w:val="32"/>
          <w:szCs w:val="32"/>
          <w:lang w:val="zh-CN"/>
        </w:rPr>
        <w:t xml:space="preserve"> （四）项目绩效目标设置。</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 xml:space="preserve"> 2024年委员调研视察活动项目经费年初预算108.36万元，为财政全额拨款，指标已全部下达到位，到位率100%。实际支付103.08万元，资金使用率为95.13%。</w:t>
      </w:r>
    </w:p>
    <w:p>
      <w:pPr>
        <w:ind w:firstLineChars="200" w:firstLine="640"/>
        <w:rPr>
          <w:rFonts w:eastAsia="仿宋_GB2312"/>
          <w:b/>
          <w:sz w:val="32"/>
          <w:szCs w:val="32"/>
          <w:lang w:val="zh-CN"/>
        </w:rPr>
      </w:pPr>
      <w:r>
        <w:rPr>
          <w:rFonts w:eastAsia="仿宋_GB2312"/>
          <w:b/>
          <w:sz w:val="32"/>
          <w:szCs w:val="32"/>
          <w:lang w:val="zh-CN"/>
        </w:rPr>
        <w:t>二、评价实施</w:t>
      </w:r>
    </w:p>
    <w:p>
      <w:pPr>
        <w:ind w:firstLineChars="200" w:firstLine="640"/>
        <w:rPr>
          <w:rFonts w:eastAsia="仿宋_GB2312"/>
          <w:b/>
          <w:sz w:val="32"/>
          <w:szCs w:val="32"/>
          <w:lang w:val="zh-CN"/>
        </w:rPr>
      </w:pPr>
      <w:r>
        <w:rPr>
          <w:rFonts w:eastAsia="仿宋_GB2312"/>
          <w:b/>
          <w:sz w:val="32"/>
          <w:szCs w:val="32"/>
          <w:lang w:val="zh-CN"/>
        </w:rPr>
        <w:t>（一）评价目的。</w:t>
      </w:r>
    </w:p>
    <w:p>
      <w:pPr>
        <w:ind w:firstLineChars="200" w:firstLine="640"/>
        <w:rPr>
          <w:rFonts w:eastAsia="仿宋_GB2312"/>
          <w:sz w:val="32"/>
          <w:szCs w:val="32"/>
        </w:rPr>
      </w:pPr>
      <w:r>
        <w:rPr>
          <w:rFonts w:eastAsia="仿宋_GB2312"/>
          <w:sz w:val="32"/>
          <w:szCs w:val="32"/>
        </w:rPr>
        <w:t>围绕市委、市政府中心工作，开展学习、调研、考察等各项活动，更好地发挥好政协委员的主体作用，发挥各政协联系单位作用，促进履职能力提升。</w:t>
      </w:r>
    </w:p>
    <w:p>
      <w:pPr>
        <w:ind w:firstLineChars="200" w:firstLine="640"/>
        <w:rPr>
          <w:rFonts w:eastAsia="仿宋_GB2312"/>
          <w:b/>
          <w:sz w:val="32"/>
          <w:szCs w:val="32"/>
          <w:lang w:val="zh-CN"/>
        </w:rPr>
      </w:pPr>
      <w:r>
        <w:rPr>
          <w:rFonts w:eastAsia="仿宋_GB2312"/>
          <w:b/>
          <w:sz w:val="32"/>
          <w:szCs w:val="32"/>
          <w:lang w:val="zh-CN"/>
        </w:rPr>
        <w:t>（二）预设问题及评价重点。</w:t>
      </w:r>
    </w:p>
    <w:p>
      <w:pPr>
        <w:ind w:firstLineChars="200" w:firstLine="640"/>
        <w:rPr>
          <w:rFonts w:eastAsia="仿宋_GB2312"/>
          <w:sz w:val="32"/>
          <w:szCs w:val="32"/>
        </w:rPr>
      </w:pPr>
      <w:r>
        <w:rPr>
          <w:rFonts w:eastAsia="仿宋_GB2312"/>
          <w:sz w:val="32"/>
          <w:szCs w:val="32"/>
        </w:rPr>
        <w:t>政协委员调研视察活动项目经费申报与实际执行情况相符。</w:t>
      </w:r>
    </w:p>
    <w:p>
      <w:pPr>
        <w:ind w:firstLineChars="200" w:firstLine="640"/>
        <w:rPr>
          <w:rFonts w:eastAsia="仿宋_GB2312"/>
          <w:b/>
          <w:sz w:val="32"/>
          <w:szCs w:val="32"/>
          <w:lang w:val="zh-CN"/>
        </w:rPr>
      </w:pPr>
      <w:r>
        <w:rPr>
          <w:rFonts w:eastAsia="仿宋_GB2312"/>
          <w:b/>
          <w:sz w:val="32"/>
          <w:szCs w:val="32"/>
          <w:lang w:val="zh-CN"/>
        </w:rPr>
        <w:t>（三）评价选点。</w:t>
      </w:r>
    </w:p>
    <w:p>
      <w:pPr>
        <w:ind w:firstLineChars="200" w:firstLine="640"/>
        <w:rPr>
          <w:rFonts w:eastAsia="仿宋_GB2312"/>
          <w:sz w:val="32"/>
          <w:szCs w:val="32"/>
          <w:lang w:val="zh-CN"/>
        </w:rPr>
      </w:pPr>
      <w:r>
        <w:rPr>
          <w:rFonts w:eastAsia="仿宋_GB2312"/>
          <w:sz w:val="32"/>
          <w:szCs w:val="32"/>
          <w:lang w:val="zh-CN"/>
        </w:rPr>
        <w:t>项目绩效自评情况真实。</w:t>
      </w:r>
    </w:p>
    <w:p>
      <w:pPr>
        <w:ind w:firstLineChars="200" w:firstLine="640"/>
        <w:rPr>
          <w:rFonts w:eastAsia="仿宋_GB2312"/>
          <w:b/>
          <w:sz w:val="32"/>
          <w:szCs w:val="32"/>
          <w:lang w:val="zh-CN"/>
        </w:rPr>
      </w:pPr>
      <w:r>
        <w:rPr>
          <w:rFonts w:eastAsia="仿宋_GB2312"/>
          <w:b/>
          <w:sz w:val="32"/>
          <w:szCs w:val="32"/>
          <w:lang w:val="zh-CN"/>
        </w:rPr>
        <w:t>（四）评价方法。</w:t>
      </w:r>
    </w:p>
    <w:p>
      <w:pPr>
        <w:ind w:firstLineChars="200" w:firstLine="640"/>
        <w:rPr>
          <w:rFonts w:eastAsia="仿宋_GB2312"/>
          <w:sz w:val="32"/>
          <w:szCs w:val="32"/>
          <w:lang w:val="zh-CN"/>
        </w:rPr>
      </w:pPr>
      <w:r>
        <w:rPr>
          <w:rFonts w:eastAsia="仿宋_GB2312"/>
          <w:sz w:val="32"/>
          <w:szCs w:val="32"/>
          <w:lang w:val="zh-CN"/>
        </w:rPr>
        <w:t>根据项目情况和评价重点，单位自评法、座谈调研法等多种方法。</w:t>
      </w:r>
    </w:p>
    <w:p>
      <w:pPr>
        <w:ind w:firstLineChars="200" w:firstLine="640"/>
        <w:rPr>
          <w:rFonts w:eastAsia="仿宋_GB2312"/>
          <w:b/>
          <w:sz w:val="32"/>
          <w:szCs w:val="32"/>
          <w:lang w:val="zh-CN"/>
        </w:rPr>
      </w:pPr>
      <w:r>
        <w:rPr>
          <w:rFonts w:eastAsia="仿宋_GB2312"/>
          <w:b/>
          <w:sz w:val="32"/>
          <w:szCs w:val="32"/>
          <w:lang w:val="zh-CN"/>
        </w:rPr>
        <w:t>（五）评价组织。</w:t>
      </w:r>
    </w:p>
    <w:p>
      <w:pPr>
        <w:ind w:firstLineChars="200" w:firstLine="640"/>
        <w:rPr>
          <w:rFonts w:eastAsia="仿宋_GB2312"/>
          <w:sz w:val="32"/>
          <w:szCs w:val="32"/>
          <w:lang w:val="zh-CN"/>
        </w:rPr>
      </w:pPr>
      <w:r>
        <w:rPr>
          <w:rFonts w:eastAsia="仿宋_GB2312"/>
          <w:sz w:val="32"/>
          <w:szCs w:val="32"/>
          <w:lang w:val="zh-CN"/>
        </w:rPr>
        <w:t>项目负责人、分管领导及驻机关纪检组。以项目完成数量级质量情况为准。</w:t>
      </w:r>
    </w:p>
    <w:p>
      <w:pPr>
        <w:ind w:firstLineChars="200" w:firstLine="640"/>
        <w:rPr>
          <w:rFonts w:eastAsia="仿宋_GB2312"/>
          <w:b/>
          <w:sz w:val="32"/>
          <w:szCs w:val="32"/>
          <w:lang w:val="zh-CN"/>
        </w:rPr>
      </w:pPr>
      <w:r>
        <w:rPr>
          <w:rFonts w:eastAsia="仿宋_GB2312"/>
          <w:b/>
          <w:sz w:val="32"/>
          <w:szCs w:val="32"/>
          <w:lang w:val="zh-CN"/>
        </w:rPr>
        <w:t>三、绩效分析</w:t>
      </w:r>
    </w:p>
    <w:p>
      <w:pPr>
        <w:ind w:firstLineChars="200" w:firstLine="640"/>
        <w:rPr>
          <w:rFonts w:eastAsia="仿宋_GB2312"/>
          <w:b/>
          <w:sz w:val="32"/>
          <w:szCs w:val="32"/>
          <w:lang w:val="zh-CN"/>
        </w:rPr>
      </w:pPr>
      <w:r>
        <w:rPr>
          <w:rFonts w:eastAsia="仿宋_GB2312"/>
          <w:b/>
          <w:sz w:val="32"/>
          <w:szCs w:val="32"/>
          <w:lang w:val="zh-CN"/>
        </w:rPr>
        <w:t>（一）通用指标绩效分析。</w:t>
      </w:r>
    </w:p>
    <w:p>
      <w:pPr>
        <w:ind w:firstLineChars="200" w:firstLine="640"/>
        <w:rPr>
          <w:rFonts w:eastAsia="仿宋_GB2312"/>
          <w:sz w:val="32"/>
          <w:szCs w:val="32"/>
          <w:lang w:val="zh-CN"/>
        </w:rPr>
      </w:pPr>
      <w:r>
        <w:rPr>
          <w:rFonts w:eastAsia="仿宋_GB2312"/>
          <w:sz w:val="32"/>
          <w:szCs w:val="32"/>
          <w:lang w:val="zh-CN"/>
        </w:rPr>
        <w:t>1.项目决策。根据市委、市政府工作任务进行项目申报。</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lang w:val="zh-CN"/>
        </w:rPr>
        <w:t>2.项目管理。</w:t>
      </w:r>
      <w:r>
        <w:rPr>
          <w:rFonts w:eastAsia="仿宋_GB2312"/>
          <w:sz w:val="32"/>
          <w:szCs w:val="32"/>
        </w:rPr>
        <w:t>严格按照先申报、审批，后拨付等项目管理制度使用，完全符合《预算法》及财务管理相关制度，会计资料完整、真实，确保了专款专用、安全规范。</w:t>
      </w:r>
    </w:p>
    <w:p>
      <w:pPr>
        <w:widowControl/>
        <w:adjustRightInd w:val="0"/>
        <w:snapToGrid w:val="0"/>
        <w:spacing w:line="560" w:lineRule="exact"/>
        <w:ind w:firstLineChars="200" w:firstLine="640"/>
        <w:contextualSpacing/>
        <w:jc w:val="left"/>
        <w:rPr>
          <w:rFonts w:eastAsia="仿宋_GB2312"/>
          <w:sz w:val="32"/>
          <w:szCs w:val="32"/>
        </w:rPr>
      </w:pPr>
      <w:r>
        <w:rPr>
          <w:rFonts w:eastAsia="仿宋_GB2312"/>
          <w:sz w:val="32"/>
          <w:szCs w:val="32"/>
          <w:lang w:val="zh-CN"/>
        </w:rPr>
        <w:t>3.项目实施。</w:t>
      </w:r>
      <w:r>
        <w:rPr>
          <w:rFonts w:eastAsia="仿宋_GB2312"/>
          <w:sz w:val="32"/>
          <w:szCs w:val="32"/>
        </w:rPr>
        <w:t xml:space="preserve">截止2024年12月31日，政协委员调研视察活动项目经费年初预算108.36万元，财政下达资金108.36万元，资金到位率100%；支出103.08万元，资金执行率95.13%。  </w:t>
      </w:r>
    </w:p>
    <w:p>
      <w:pPr>
        <w:autoSpaceDE w:val="0"/>
        <w:autoSpaceDN w:val="0"/>
        <w:adjustRightInd w:val="0"/>
        <w:spacing w:line="600" w:lineRule="exact"/>
        <w:ind w:firstLineChars="200" w:firstLine="640"/>
        <w:jc w:val="left"/>
        <w:rPr>
          <w:rFonts w:eastAsia="仿宋_GB2312"/>
          <w:bCs/>
          <w:sz w:val="32"/>
          <w:szCs w:val="32"/>
        </w:rPr>
      </w:pPr>
      <w:r>
        <w:rPr>
          <w:rFonts w:eastAsia="仿宋_GB2312"/>
          <w:sz w:val="32"/>
          <w:szCs w:val="32"/>
          <w:lang w:val="zh-CN"/>
        </w:rPr>
        <w:t>4.项目结果。</w:t>
      </w:r>
      <w:r>
        <w:rPr>
          <w:rFonts w:eastAsia="仿宋_GB2312"/>
          <w:sz w:val="32"/>
          <w:szCs w:val="32"/>
        </w:rPr>
        <w:t>通过项目的实施，全市政协各级组织和政协委员</w:t>
      </w:r>
      <w:r>
        <w:rPr>
          <w:rFonts w:eastAsia="仿宋_GB2312"/>
          <w:bCs/>
          <w:sz w:val="32"/>
          <w:szCs w:val="32"/>
        </w:rPr>
        <w:t>围绕</w:t>
      </w:r>
      <w:r>
        <w:rPr>
          <w:rFonts w:eastAsia="仿宋_GB2312"/>
          <w:sz w:val="32"/>
          <w:szCs w:val="32"/>
        </w:rPr>
        <w:t>共同富裕试验区建设</w:t>
      </w:r>
      <w:r>
        <w:rPr>
          <w:rFonts w:eastAsia="仿宋_GB2312"/>
          <w:bCs/>
          <w:sz w:val="32"/>
          <w:szCs w:val="32"/>
        </w:rPr>
        <w:t>提出意见建议千余条。</w:t>
      </w:r>
      <w:r>
        <w:rPr>
          <w:rFonts w:eastAsia="仿宋_GB2312"/>
          <w:sz w:val="32"/>
          <w:szCs w:val="32"/>
        </w:rPr>
        <w:t>开展重点协商活动24次，调研视察97次，履职成果得到市委、市政府主要领导的肯定性批示28件（次）</w:t>
      </w:r>
      <w:r>
        <w:rPr>
          <w:rFonts w:eastAsia="仿宋_GB2312"/>
          <w:bCs/>
          <w:sz w:val="32"/>
          <w:szCs w:val="32"/>
        </w:rPr>
        <w:t>。 “凝聚共识·委员主题活动日”成为市政协具有较高辨识度的特色履职品牌。</w:t>
      </w:r>
    </w:p>
    <w:p>
      <w:pPr>
        <w:ind w:firstLineChars="200" w:firstLine="640"/>
        <w:rPr>
          <w:rFonts w:eastAsia="仿宋_GB2312"/>
          <w:b/>
          <w:sz w:val="32"/>
          <w:szCs w:val="32"/>
          <w:lang w:val="zh-CN"/>
        </w:rPr>
      </w:pPr>
      <w:r>
        <w:rPr>
          <w:rFonts w:eastAsia="仿宋_GB2312"/>
          <w:b/>
          <w:sz w:val="32"/>
          <w:szCs w:val="32"/>
          <w:lang w:val="zh-CN"/>
        </w:rPr>
        <w:t>（二）专用指标绩效分析。</w:t>
      </w:r>
    </w:p>
    <w:p>
      <w:pPr>
        <w:ind w:firstLineChars="200" w:firstLine="640"/>
        <w:rPr>
          <w:rFonts w:eastAsia="仿宋_GB2312"/>
          <w:sz w:val="32"/>
          <w:szCs w:val="32"/>
          <w:lang w:val="zh-CN"/>
        </w:rPr>
      </w:pPr>
      <w:r>
        <w:rPr>
          <w:rFonts w:eastAsia="仿宋_GB2312"/>
          <w:sz w:val="32"/>
          <w:szCs w:val="32"/>
          <w:lang w:val="zh-CN"/>
        </w:rPr>
        <w:t>1.产业发展。政协委员建言献策，推动攀枝花经济发展。</w:t>
      </w:r>
    </w:p>
    <w:p>
      <w:pPr>
        <w:ind w:firstLineChars="200" w:firstLine="640"/>
        <w:rPr>
          <w:rFonts w:eastAsia="仿宋_GB2312"/>
          <w:sz w:val="32"/>
          <w:szCs w:val="32"/>
          <w:lang w:val="zh-CN"/>
        </w:rPr>
      </w:pPr>
      <w:r>
        <w:rPr>
          <w:rFonts w:eastAsia="仿宋_GB2312"/>
          <w:sz w:val="32"/>
          <w:szCs w:val="32"/>
          <w:lang w:val="zh-CN"/>
        </w:rPr>
        <w:t>2.民生保障。政协委员参政议政、建言献策，更好地保障民生。</w:t>
      </w:r>
    </w:p>
    <w:p>
      <w:pPr>
        <w:autoSpaceDE w:val="0"/>
        <w:autoSpaceDN w:val="0"/>
        <w:adjustRightInd w:val="0"/>
        <w:spacing w:line="600" w:lineRule="exact"/>
        <w:ind w:firstLineChars="200" w:firstLine="640"/>
        <w:jc w:val="left"/>
        <w:rPr>
          <w:rFonts w:eastAsia="仿宋_GB2312"/>
          <w:sz w:val="32"/>
          <w:szCs w:val="32"/>
        </w:rPr>
      </w:pPr>
      <w:r>
        <w:rPr>
          <w:rFonts w:eastAsia="仿宋_GB2312"/>
          <w:b/>
          <w:sz w:val="32"/>
          <w:szCs w:val="32"/>
          <w:lang w:val="zh-CN"/>
        </w:rPr>
        <w:t>（三）个性指标绩效分析。</w:t>
      </w:r>
      <w:r>
        <w:rPr>
          <w:rFonts w:eastAsia="仿宋_GB2312"/>
          <w:sz w:val="32"/>
          <w:szCs w:val="32"/>
        </w:rPr>
        <w:t>政协委员调研视察活动项目经费申报与实际执行情况相符。</w:t>
      </w:r>
    </w:p>
    <w:p>
      <w:pPr>
        <w:ind w:firstLineChars="200" w:firstLine="640"/>
        <w:rPr>
          <w:rFonts w:eastAsia="仿宋_GB2312"/>
          <w:b/>
          <w:sz w:val="32"/>
          <w:szCs w:val="32"/>
          <w:lang w:val="zh-CN"/>
        </w:rPr>
      </w:pPr>
      <w:r>
        <w:rPr>
          <w:rFonts w:eastAsia="仿宋_GB2312"/>
          <w:b/>
          <w:sz w:val="32"/>
          <w:szCs w:val="32"/>
          <w:lang w:val="zh-CN"/>
        </w:rPr>
        <w:t>四、评价结论</w:t>
      </w:r>
    </w:p>
    <w:p>
      <w:pPr>
        <w:pStyle w:val="18"/>
        <w:spacing w:beforeLines="0" w:before="93"/>
        <w:rPr>
          <w:rFonts w:ascii="Times New Roman" w:hAnsi="Times New Roman"/>
          <w:sz w:val="32"/>
          <w:szCs w:val="32"/>
          <w:lang w:val="zh-CN"/>
        </w:rPr>
      </w:pPr>
      <w:r>
        <w:rPr>
          <w:rFonts w:ascii="Times New Roman" w:hAnsi="Times New Roman"/>
          <w:sz w:val="32"/>
          <w:szCs w:val="32"/>
        </w:rPr>
        <w:t xml:space="preserve">    我部门重视政协委员调研视察活动项目经费预算编制，严格执行预算，在执行财政预算的过程中，严格按照资金运行管理要求安排，积极履行职责，切实做到了资金专项专用，无截留、无挪用，有效发挥了财政资金的使用效率。</w:t>
      </w:r>
    </w:p>
    <w:p>
      <w:pPr>
        <w:ind w:firstLineChars="200" w:firstLine="640"/>
        <w:rPr>
          <w:rFonts w:eastAsia="仿宋_GB2312"/>
          <w:b/>
          <w:sz w:val="32"/>
          <w:szCs w:val="32"/>
          <w:lang w:val="zh-CN"/>
        </w:rPr>
      </w:pPr>
      <w:r>
        <w:rPr>
          <w:rFonts w:eastAsia="仿宋_GB2312"/>
          <w:b/>
          <w:sz w:val="32"/>
          <w:szCs w:val="32"/>
          <w:lang w:val="zh-CN"/>
        </w:rPr>
        <w:t>五、存在主要问题</w:t>
      </w:r>
    </w:p>
    <w:p>
      <w:pPr>
        <w:widowControl/>
        <w:adjustRightInd w:val="0"/>
        <w:snapToGrid w:val="0"/>
        <w:spacing w:line="580" w:lineRule="exact"/>
        <w:ind w:firstLineChars="200" w:firstLine="640"/>
        <w:contextualSpacing/>
        <w:jc w:val="left"/>
        <w:rPr>
          <w:rFonts w:eastAsia="仿宋_GB2312"/>
          <w:sz w:val="32"/>
          <w:szCs w:val="32"/>
        </w:rPr>
      </w:pPr>
      <w:r>
        <w:rPr>
          <w:rFonts w:eastAsia="仿宋_GB2312"/>
          <w:kern w:val="0"/>
          <w:sz w:val="32"/>
          <w:szCs w:val="32"/>
        </w:rPr>
        <w:t>要保障项目规范有效地实施，还面临着许多困难和问题：</w:t>
      </w:r>
      <w:r>
        <w:rPr>
          <w:rFonts w:eastAsia="仿宋_GB2312"/>
          <w:sz w:val="32"/>
          <w:szCs w:val="32"/>
        </w:rPr>
        <w:t>本部门在预算项目执行中，还存在项目推进有滞后的情况。</w:t>
      </w:r>
    </w:p>
    <w:p>
      <w:pPr>
        <w:autoSpaceDE w:val="0"/>
        <w:autoSpaceDN w:val="0"/>
        <w:adjustRightInd w:val="0"/>
        <w:spacing w:line="600" w:lineRule="exact"/>
        <w:ind w:firstLineChars="200" w:firstLine="640"/>
        <w:jc w:val="left"/>
        <w:rPr>
          <w:rFonts w:eastAsia="仿宋_GB2312"/>
          <w:b/>
          <w:sz w:val="32"/>
          <w:szCs w:val="32"/>
          <w:lang w:val="zh-CN"/>
        </w:rPr>
      </w:pPr>
      <w:r>
        <w:rPr>
          <w:rFonts w:eastAsia="仿宋_GB2312"/>
          <w:b/>
          <w:sz w:val="32"/>
          <w:szCs w:val="32"/>
          <w:lang w:val="zh-CN"/>
        </w:rPr>
        <w:t>六、改进建议</w:t>
      </w:r>
    </w:p>
    <w:p>
      <w:pPr>
        <w:pStyle w:val="36"/>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一是继续加强项目资金的使用管理，继续完善相关的管理制度；二是加强对绩效评价工作的管理细化。</w:t>
      </w:r>
    </w:p>
    <w:p>
      <w:pPr>
        <w:adjustRightInd w:val="0"/>
        <w:snapToGrid w:val="0"/>
        <w:spacing w:line="560" w:lineRule="exact"/>
        <w:ind w:firstLine="720"/>
        <w:rPr>
          <w:rFonts w:eastAsia="仿宋_GB2312"/>
          <w:sz w:val="32"/>
          <w:szCs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rPr>
          <w:rFonts w:ascii="Times New Roman" w:eastAsia="仿宋_GB2312" w:hAnsi="Times New Roman"/>
          <w:sz w:val="32"/>
        </w:rPr>
      </w:pPr>
    </w:p>
    <w:p>
      <w:pPr>
        <w:pStyle w:val="17"/>
      </w:pPr>
    </w:p>
    <w:p>
      <w:pPr>
        <w:pStyle w:val="17"/>
      </w:pPr>
    </w:p>
    <w:p>
      <w:pPr>
        <w:pStyle w:val="17"/>
      </w:pPr>
    </w:p>
    <w:p>
      <w:pPr>
        <w:pStyle w:val="17"/>
      </w:pPr>
    </w:p>
    <w:p>
      <w:pPr>
        <w:jc w:val="center"/>
        <w:rPr>
          <w:rFonts w:ascii="方正小标宋_GBK" w:eastAsia="方正小标宋_GBK"/>
          <w:sz w:val="44"/>
          <w:szCs w:val="44"/>
        </w:rPr>
      </w:pPr>
      <w:r>
        <w:rPr>
          <w:rFonts w:ascii="方正小标宋_GBK" w:eastAsia="方正小标宋_GBK" w:hint="eastAsia"/>
          <w:sz w:val="44"/>
          <w:szCs w:val="44"/>
        </w:rPr>
        <w:t>专项预算项目绩效评价报告</w:t>
      </w:r>
    </w:p>
    <w:p>
      <w:pPr>
        <w:rPr>
          <w:rFonts w:eastAsia="仿宋_GB2312"/>
          <w:sz w:val="32"/>
          <w:szCs w:val="32"/>
          <w:lang w:val="zh-CN"/>
        </w:rPr>
      </w:pPr>
    </w:p>
    <w:p>
      <w:pPr>
        <w:ind w:firstLineChars="200" w:firstLine="640"/>
        <w:rPr>
          <w:rFonts w:eastAsia="仿宋_GB2312"/>
          <w:b/>
          <w:sz w:val="32"/>
          <w:szCs w:val="32"/>
          <w:lang w:val="zh-CN"/>
        </w:rPr>
      </w:pPr>
      <w:r>
        <w:rPr>
          <w:rFonts w:eastAsia="仿宋_GB2312"/>
          <w:b/>
          <w:sz w:val="32"/>
          <w:szCs w:val="32"/>
          <w:lang w:val="zh-CN"/>
        </w:rPr>
        <w:t>一、项目概况</w:t>
      </w:r>
    </w:p>
    <w:p>
      <w:pPr>
        <w:ind w:firstLineChars="200" w:firstLine="640"/>
        <w:rPr>
          <w:rFonts w:eastAsia="仿宋_GB2312"/>
          <w:b/>
          <w:sz w:val="32"/>
          <w:szCs w:val="32"/>
          <w:lang w:val="zh-CN"/>
        </w:rPr>
      </w:pPr>
      <w:r>
        <w:rPr>
          <w:rFonts w:eastAsia="仿宋_GB2312"/>
          <w:b/>
          <w:sz w:val="32"/>
          <w:szCs w:val="32"/>
          <w:lang w:val="zh-CN"/>
        </w:rPr>
        <w:t>（一）设立背景及基本情况。</w:t>
      </w:r>
    </w:p>
    <w:p>
      <w:pPr>
        <w:autoSpaceDE w:val="0"/>
        <w:autoSpaceDN w:val="0"/>
        <w:adjustRightInd w:val="0"/>
        <w:spacing w:line="600" w:lineRule="exact"/>
        <w:ind w:firstLineChars="200" w:firstLine="640"/>
        <w:jc w:val="left"/>
        <w:rPr>
          <w:rFonts w:eastAsia="仿宋_GB2312"/>
          <w:spacing w:val="-6"/>
          <w:sz w:val="32"/>
          <w:szCs w:val="32"/>
        </w:rPr>
      </w:pPr>
      <w:r>
        <w:rPr>
          <w:rFonts w:eastAsia="仿宋_GB2312"/>
          <w:sz w:val="32"/>
          <w:szCs w:val="32"/>
        </w:rPr>
        <w:t>中国人民政治协商会议四川省攀枝花市委员会办公室是中国人民政治协商会议四川省攀枝花市委员会的工作机构，综合业务费是为了保障政协机关、书画院更好履行政协职能，顺利完成2024年各项工作。</w:t>
      </w:r>
    </w:p>
    <w:p>
      <w:pPr>
        <w:ind w:firstLineChars="200" w:firstLine="640"/>
        <w:rPr>
          <w:rFonts w:eastAsia="仿宋_GB2312"/>
          <w:b/>
          <w:sz w:val="32"/>
          <w:szCs w:val="32"/>
          <w:lang w:val="zh-CN"/>
        </w:rPr>
      </w:pPr>
      <w:r>
        <w:rPr>
          <w:rFonts w:eastAsia="仿宋_GB2312"/>
          <w:b/>
          <w:sz w:val="32"/>
          <w:szCs w:val="32"/>
          <w:lang w:val="zh-CN"/>
        </w:rPr>
        <w:t>（二）实施目的及支持方向。</w:t>
      </w:r>
    </w:p>
    <w:p>
      <w:pPr>
        <w:ind w:firstLineChars="200" w:firstLine="640"/>
        <w:rPr>
          <w:rFonts w:eastAsia="仿宋_GB2312"/>
          <w:sz w:val="32"/>
          <w:szCs w:val="32"/>
        </w:rPr>
      </w:pPr>
      <w:r>
        <w:rPr>
          <w:rFonts w:eastAsia="仿宋_GB2312"/>
          <w:sz w:val="32"/>
          <w:szCs w:val="32"/>
        </w:rPr>
        <w:t>综合业务费是为了保障政协机关、书画院更好履行政协职能，顺利完成2024年各项工作。</w:t>
      </w:r>
    </w:p>
    <w:p>
      <w:pPr>
        <w:ind w:firstLineChars="200" w:firstLine="640"/>
        <w:rPr>
          <w:rFonts w:eastAsia="仿宋_GB2312"/>
          <w:b/>
          <w:sz w:val="32"/>
          <w:szCs w:val="32"/>
          <w:lang w:val="zh-CN"/>
        </w:rPr>
      </w:pPr>
      <w:r>
        <w:rPr>
          <w:rFonts w:eastAsia="仿宋_GB2312"/>
          <w:b/>
          <w:sz w:val="32"/>
          <w:szCs w:val="32"/>
          <w:lang w:val="zh-CN"/>
        </w:rPr>
        <w:t>（三）预算安排及分配管理。</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sz w:val="32"/>
          <w:szCs w:val="32"/>
        </w:rPr>
        <w:t>为保证项目的顺利实施，中国人民政治协商会议四川省攀枝花市委员会办公室在使用资金过程中严格执行财务管理制度，每一笔经济业务都按照程序进行申报、审批，项目专款专用。对于重大的业务和事项，实行集体决策审批共同做出决定。</w:t>
      </w:r>
    </w:p>
    <w:p>
      <w:pPr>
        <w:ind w:firstLineChars="200" w:firstLine="640"/>
        <w:rPr>
          <w:rFonts w:eastAsia="仿宋_GB2312"/>
          <w:b/>
          <w:sz w:val="32"/>
          <w:szCs w:val="32"/>
          <w:lang w:val="zh-CN"/>
        </w:rPr>
      </w:pPr>
      <w:r>
        <w:rPr>
          <w:rFonts w:eastAsia="仿宋_GB2312"/>
          <w:b/>
          <w:sz w:val="32"/>
          <w:szCs w:val="32"/>
          <w:lang w:val="zh-CN"/>
        </w:rPr>
        <w:t>（四）项目绩效目标设置。</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2024年综合业务费</w:t>
      </w:r>
      <w:bookmarkStart w:id="85" w:name="_GoBack"/>
      <w:bookmarkEnd w:id="85"/>
      <w:r>
        <w:rPr>
          <w:rFonts w:eastAsia="仿宋_GB2312"/>
          <w:sz w:val="32"/>
          <w:szCs w:val="32"/>
        </w:rPr>
        <w:t>年初预算110万元，为财政全额拨款，指标已全部下达到位，到位率100%。实际支付93.57万元，资金使用率为87.2%。</w:t>
      </w:r>
    </w:p>
    <w:p>
      <w:pPr>
        <w:ind w:firstLineChars="200" w:firstLine="640"/>
        <w:rPr>
          <w:rFonts w:eastAsia="仿宋_GB2312"/>
          <w:b/>
          <w:sz w:val="32"/>
          <w:szCs w:val="32"/>
          <w:lang w:val="zh-CN"/>
        </w:rPr>
      </w:pPr>
      <w:r>
        <w:rPr>
          <w:rFonts w:eastAsia="仿宋_GB2312"/>
          <w:b/>
          <w:sz w:val="32"/>
          <w:szCs w:val="32"/>
          <w:lang w:val="zh-CN"/>
        </w:rPr>
        <w:t>二、评价实施</w:t>
      </w:r>
    </w:p>
    <w:p>
      <w:pPr>
        <w:autoSpaceDE w:val="0"/>
        <w:autoSpaceDN w:val="0"/>
        <w:adjustRightInd w:val="0"/>
        <w:spacing w:line="600" w:lineRule="exact"/>
        <w:ind w:firstLineChars="200" w:firstLine="640"/>
        <w:jc w:val="left"/>
        <w:rPr>
          <w:rFonts w:eastAsia="仿宋_GB2312"/>
          <w:b/>
          <w:sz w:val="32"/>
          <w:szCs w:val="32"/>
          <w:lang w:val="zh-CN"/>
        </w:rPr>
      </w:pPr>
      <w:r>
        <w:rPr>
          <w:rFonts w:eastAsia="仿宋_GB2312"/>
          <w:b/>
          <w:sz w:val="32"/>
          <w:szCs w:val="32"/>
          <w:lang w:val="zh-CN"/>
        </w:rPr>
        <w:t>（一）评价目的。</w:t>
      </w:r>
    </w:p>
    <w:p>
      <w:pPr>
        <w:autoSpaceDE w:val="0"/>
        <w:autoSpaceDN w:val="0"/>
        <w:adjustRightInd w:val="0"/>
        <w:spacing w:line="600" w:lineRule="exact"/>
        <w:ind w:firstLineChars="200" w:firstLine="640"/>
        <w:jc w:val="left"/>
        <w:rPr>
          <w:rFonts w:eastAsia="仿宋_GB2312"/>
          <w:bCs/>
          <w:sz w:val="32"/>
          <w:szCs w:val="32"/>
        </w:rPr>
      </w:pPr>
      <w:r>
        <w:rPr>
          <w:rFonts w:eastAsia="仿宋_GB2312"/>
          <w:sz w:val="32"/>
          <w:szCs w:val="32"/>
        </w:rPr>
        <w:t>加强市政协党的建设、履职工作、组织管理、内部运行，进一步构建起权责清晰、程序规范、关系顺畅、运行有效地制度体系。</w:t>
      </w:r>
    </w:p>
    <w:p>
      <w:pPr>
        <w:ind w:firstLineChars="200" w:firstLine="640"/>
        <w:rPr>
          <w:rFonts w:eastAsia="仿宋_GB2312"/>
          <w:b/>
          <w:sz w:val="32"/>
          <w:szCs w:val="32"/>
          <w:lang w:val="zh-CN"/>
        </w:rPr>
      </w:pPr>
      <w:r>
        <w:rPr>
          <w:rFonts w:eastAsia="仿宋_GB2312"/>
          <w:b/>
          <w:sz w:val="32"/>
          <w:szCs w:val="32"/>
          <w:lang w:val="zh-CN"/>
        </w:rPr>
        <w:t>（二）预设问题及评价重点。</w:t>
      </w:r>
    </w:p>
    <w:p>
      <w:pPr>
        <w:ind w:firstLineChars="200" w:firstLine="640"/>
        <w:rPr>
          <w:rFonts w:eastAsia="仿宋_GB2312"/>
          <w:sz w:val="32"/>
          <w:szCs w:val="32"/>
        </w:rPr>
      </w:pPr>
      <w:r>
        <w:rPr>
          <w:rFonts w:eastAsia="仿宋_GB2312"/>
          <w:sz w:val="32"/>
          <w:szCs w:val="32"/>
        </w:rPr>
        <w:t>综合业务费申报与实际执行情况相符。</w:t>
      </w:r>
    </w:p>
    <w:p>
      <w:pPr>
        <w:ind w:firstLineChars="200" w:firstLine="640"/>
        <w:rPr>
          <w:rFonts w:eastAsia="仿宋_GB2312"/>
          <w:b/>
          <w:sz w:val="32"/>
          <w:szCs w:val="32"/>
          <w:lang w:val="zh-CN"/>
        </w:rPr>
      </w:pPr>
      <w:r>
        <w:rPr>
          <w:rFonts w:eastAsia="仿宋_GB2312"/>
          <w:b/>
          <w:sz w:val="32"/>
          <w:szCs w:val="32"/>
          <w:lang w:val="zh-CN"/>
        </w:rPr>
        <w:t>（三）评价选点。</w:t>
      </w:r>
    </w:p>
    <w:p>
      <w:pPr>
        <w:ind w:firstLineChars="200" w:firstLine="640"/>
        <w:rPr>
          <w:rFonts w:eastAsia="仿宋_GB2312"/>
          <w:sz w:val="32"/>
          <w:szCs w:val="32"/>
          <w:lang w:val="zh-CN"/>
        </w:rPr>
      </w:pPr>
      <w:r>
        <w:rPr>
          <w:rFonts w:eastAsia="仿宋_GB2312"/>
          <w:sz w:val="32"/>
          <w:szCs w:val="32"/>
          <w:lang w:val="zh-CN"/>
        </w:rPr>
        <w:t>项目绩效自评情况真实。</w:t>
      </w:r>
    </w:p>
    <w:p>
      <w:pPr>
        <w:ind w:firstLineChars="200" w:firstLine="640"/>
        <w:rPr>
          <w:rFonts w:eastAsia="仿宋_GB2312"/>
          <w:b/>
          <w:sz w:val="32"/>
          <w:szCs w:val="32"/>
          <w:lang w:val="zh-CN"/>
        </w:rPr>
      </w:pPr>
      <w:r>
        <w:rPr>
          <w:rFonts w:eastAsia="仿宋_GB2312"/>
          <w:b/>
          <w:sz w:val="32"/>
          <w:szCs w:val="32"/>
          <w:lang w:val="zh-CN"/>
        </w:rPr>
        <w:t>（四）评价方法。</w:t>
      </w:r>
    </w:p>
    <w:p>
      <w:pPr>
        <w:ind w:firstLineChars="200" w:firstLine="640"/>
        <w:rPr>
          <w:rFonts w:eastAsia="仿宋_GB2312"/>
          <w:sz w:val="32"/>
          <w:szCs w:val="32"/>
          <w:lang w:val="zh-CN"/>
        </w:rPr>
      </w:pPr>
      <w:r>
        <w:rPr>
          <w:rFonts w:eastAsia="仿宋_GB2312"/>
          <w:sz w:val="32"/>
          <w:szCs w:val="32"/>
          <w:lang w:val="zh-CN"/>
        </w:rPr>
        <w:t>根据项目情况和评价重点，单位自评法、座谈调研法等多种方法。</w:t>
      </w:r>
    </w:p>
    <w:p>
      <w:pPr>
        <w:ind w:firstLineChars="200" w:firstLine="640"/>
        <w:rPr>
          <w:rFonts w:eastAsia="仿宋_GB2312"/>
          <w:b/>
          <w:sz w:val="32"/>
          <w:szCs w:val="32"/>
          <w:lang w:val="zh-CN"/>
        </w:rPr>
      </w:pPr>
      <w:r>
        <w:rPr>
          <w:rFonts w:eastAsia="仿宋_GB2312"/>
          <w:b/>
          <w:sz w:val="32"/>
          <w:szCs w:val="32"/>
          <w:lang w:val="zh-CN"/>
        </w:rPr>
        <w:t>（五）评价组织。</w:t>
      </w:r>
    </w:p>
    <w:p>
      <w:pPr>
        <w:ind w:firstLineChars="200" w:firstLine="640"/>
        <w:rPr>
          <w:rFonts w:eastAsia="仿宋_GB2312"/>
          <w:sz w:val="32"/>
          <w:szCs w:val="32"/>
          <w:lang w:val="zh-CN"/>
        </w:rPr>
      </w:pPr>
      <w:r>
        <w:rPr>
          <w:rFonts w:eastAsia="仿宋_GB2312"/>
          <w:sz w:val="32"/>
          <w:szCs w:val="32"/>
          <w:lang w:val="zh-CN"/>
        </w:rPr>
        <w:t>项目负责人、分管领导及驻机关纪检组。以项目完成数量级质量情况为准。</w:t>
      </w:r>
    </w:p>
    <w:p>
      <w:pPr>
        <w:ind w:firstLineChars="200" w:firstLine="640"/>
        <w:rPr>
          <w:rFonts w:eastAsia="仿宋_GB2312"/>
          <w:b/>
          <w:sz w:val="32"/>
          <w:szCs w:val="32"/>
          <w:lang w:val="zh-CN"/>
        </w:rPr>
      </w:pPr>
      <w:r>
        <w:rPr>
          <w:rFonts w:eastAsia="仿宋_GB2312"/>
          <w:b/>
          <w:sz w:val="32"/>
          <w:szCs w:val="32"/>
          <w:lang w:val="zh-CN"/>
        </w:rPr>
        <w:t>三、绩效分析</w:t>
      </w:r>
    </w:p>
    <w:p>
      <w:pPr>
        <w:ind w:firstLineChars="200" w:firstLine="640"/>
        <w:rPr>
          <w:rFonts w:eastAsia="仿宋_GB2312"/>
          <w:b/>
          <w:sz w:val="32"/>
          <w:szCs w:val="32"/>
          <w:lang w:val="zh-CN"/>
        </w:rPr>
      </w:pPr>
      <w:r>
        <w:rPr>
          <w:rFonts w:eastAsia="仿宋_GB2312"/>
          <w:b/>
          <w:sz w:val="32"/>
          <w:szCs w:val="32"/>
          <w:lang w:val="zh-CN"/>
        </w:rPr>
        <w:t>（一）通用指标绩效分析。</w:t>
      </w:r>
    </w:p>
    <w:p>
      <w:pPr>
        <w:ind w:firstLineChars="200" w:firstLine="640"/>
        <w:rPr>
          <w:rFonts w:eastAsia="仿宋_GB2312"/>
          <w:sz w:val="32"/>
          <w:szCs w:val="32"/>
          <w:lang w:val="zh-CN"/>
        </w:rPr>
      </w:pPr>
      <w:r>
        <w:rPr>
          <w:rFonts w:eastAsia="仿宋_GB2312"/>
          <w:sz w:val="32"/>
          <w:szCs w:val="32"/>
          <w:lang w:val="zh-CN"/>
        </w:rPr>
        <w:t>1.项目决策。根据市委、市政府工作任务进行项目申报。</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lang w:val="zh-CN"/>
        </w:rPr>
        <w:t>2.项目管理。</w:t>
      </w:r>
      <w:r>
        <w:rPr>
          <w:rFonts w:eastAsia="仿宋_GB2312"/>
          <w:sz w:val="32"/>
          <w:szCs w:val="32"/>
        </w:rPr>
        <w:t>严格按照先申报、审批，后拨付等项目管理制度使用，完全符合《预算法》及财务管理相关制度，会计资料完整、真实，确保了专款专用、安全规范。</w:t>
      </w:r>
    </w:p>
    <w:p>
      <w:pPr>
        <w:widowControl/>
        <w:adjustRightInd w:val="0"/>
        <w:snapToGrid w:val="0"/>
        <w:spacing w:line="560" w:lineRule="exact"/>
        <w:ind w:firstLineChars="200" w:firstLine="640"/>
        <w:contextualSpacing/>
        <w:jc w:val="left"/>
        <w:rPr>
          <w:rFonts w:eastAsia="仿宋_GB2312"/>
          <w:sz w:val="32"/>
          <w:szCs w:val="32"/>
        </w:rPr>
      </w:pPr>
      <w:r>
        <w:rPr>
          <w:rFonts w:eastAsia="仿宋_GB2312"/>
          <w:sz w:val="32"/>
          <w:szCs w:val="32"/>
          <w:lang w:val="zh-CN"/>
        </w:rPr>
        <w:t>3.项目实施。</w:t>
      </w:r>
      <w:r>
        <w:rPr>
          <w:rFonts w:eastAsia="仿宋_GB2312"/>
          <w:sz w:val="32"/>
          <w:szCs w:val="32"/>
        </w:rPr>
        <w:t xml:space="preserve">截止2024年12月31日，综合业务费年初预算100万元，财政下达资金110万元，资金到位率100%；支出93.57万元，资金执行率87.2%。  </w:t>
      </w:r>
    </w:p>
    <w:p>
      <w:pPr>
        <w:adjustRightInd w:val="0"/>
        <w:snapToGrid w:val="0"/>
        <w:spacing w:line="560" w:lineRule="exact"/>
        <w:ind w:firstLine="720"/>
        <w:rPr>
          <w:rFonts w:eastAsia="仿宋_GB2312"/>
          <w:sz w:val="32"/>
          <w:szCs w:val="32"/>
        </w:rPr>
      </w:pPr>
      <w:r>
        <w:rPr>
          <w:rFonts w:eastAsia="仿宋_GB2312"/>
          <w:sz w:val="32"/>
          <w:szCs w:val="32"/>
          <w:lang w:val="zh-CN"/>
        </w:rPr>
        <w:t>4.项目结果。</w:t>
      </w:r>
      <w:r>
        <w:rPr>
          <w:rFonts w:eastAsia="仿宋_GB2312"/>
          <w:sz w:val="32"/>
          <w:szCs w:val="32"/>
        </w:rPr>
        <w:t>通过项目的实施，通过项目的实施，政协机关和书画院圆满完成2024年各项工作任务。</w:t>
      </w:r>
    </w:p>
    <w:p>
      <w:pPr>
        <w:ind w:firstLineChars="200" w:firstLine="640"/>
        <w:rPr>
          <w:rFonts w:eastAsia="仿宋_GB2312"/>
          <w:b/>
          <w:sz w:val="32"/>
          <w:szCs w:val="32"/>
          <w:lang w:val="zh-CN"/>
        </w:rPr>
      </w:pPr>
      <w:r>
        <w:rPr>
          <w:rFonts w:eastAsia="仿宋_GB2312"/>
          <w:b/>
          <w:sz w:val="32"/>
          <w:szCs w:val="32"/>
          <w:lang w:val="zh-CN"/>
        </w:rPr>
        <w:t>（二）专用指标绩效分析。</w:t>
      </w:r>
    </w:p>
    <w:p>
      <w:pPr>
        <w:ind w:firstLineChars="200" w:firstLine="640"/>
        <w:rPr>
          <w:rFonts w:eastAsia="仿宋_GB2312"/>
          <w:sz w:val="32"/>
          <w:szCs w:val="32"/>
        </w:rPr>
      </w:pPr>
      <w:r>
        <w:rPr>
          <w:rFonts w:eastAsia="仿宋_GB2312"/>
          <w:sz w:val="32"/>
          <w:szCs w:val="32"/>
          <w:lang w:val="zh-CN"/>
        </w:rPr>
        <w:t>1.产业发展。</w:t>
      </w:r>
      <w:r>
        <w:rPr>
          <w:rFonts w:eastAsia="仿宋_GB2312"/>
          <w:sz w:val="32"/>
          <w:szCs w:val="32"/>
        </w:rPr>
        <w:t>更好地为全市政协委员服务，完成2024年工作。</w:t>
      </w:r>
    </w:p>
    <w:p>
      <w:pPr>
        <w:autoSpaceDE w:val="0"/>
        <w:autoSpaceDN w:val="0"/>
        <w:adjustRightInd w:val="0"/>
        <w:spacing w:line="600" w:lineRule="exact"/>
        <w:ind w:firstLineChars="200" w:firstLine="640"/>
        <w:jc w:val="left"/>
        <w:rPr>
          <w:rFonts w:eastAsia="仿宋_GB2312"/>
          <w:sz w:val="32"/>
          <w:szCs w:val="32"/>
        </w:rPr>
      </w:pPr>
      <w:r>
        <w:rPr>
          <w:rFonts w:eastAsia="仿宋_GB2312"/>
          <w:b/>
          <w:sz w:val="32"/>
          <w:szCs w:val="32"/>
          <w:lang w:val="zh-CN"/>
        </w:rPr>
        <w:t>（三）个性指标绩效分析。</w:t>
      </w:r>
      <w:r>
        <w:rPr>
          <w:rFonts w:eastAsia="仿宋_GB2312"/>
          <w:sz w:val="32"/>
          <w:szCs w:val="32"/>
        </w:rPr>
        <w:t>综合业务费申报与实际执行情况相符。</w:t>
      </w:r>
    </w:p>
    <w:p>
      <w:pPr>
        <w:ind w:firstLineChars="200" w:firstLine="640"/>
        <w:rPr>
          <w:rFonts w:eastAsia="仿宋_GB2312"/>
          <w:b/>
          <w:sz w:val="32"/>
          <w:szCs w:val="32"/>
          <w:lang w:val="zh-CN"/>
        </w:rPr>
      </w:pPr>
      <w:r>
        <w:rPr>
          <w:rFonts w:eastAsia="仿宋_GB2312"/>
          <w:b/>
          <w:sz w:val="32"/>
          <w:szCs w:val="32"/>
          <w:lang w:val="zh-CN"/>
        </w:rPr>
        <w:t>四、评价结论</w:t>
      </w:r>
    </w:p>
    <w:p>
      <w:pPr>
        <w:pStyle w:val="18"/>
        <w:spacing w:beforeLines="0" w:before="93"/>
        <w:rPr>
          <w:rFonts w:ascii="Times New Roman" w:hAnsi="Times New Roman"/>
          <w:sz w:val="32"/>
          <w:szCs w:val="32"/>
          <w:lang w:val="zh-CN"/>
        </w:rPr>
      </w:pPr>
      <w:r>
        <w:rPr>
          <w:rFonts w:ascii="Times New Roman" w:hAnsi="Times New Roman"/>
          <w:sz w:val="32"/>
          <w:szCs w:val="32"/>
        </w:rPr>
        <w:t xml:space="preserve">    我部门重视综合业务费预算编制，严格执行预算，在执行财政预算的过程中，严格按照资金运行管理要求安排，积极履行职责，切实做到了资金专项专用，无截留、无挪用，有效发挥了财政资金的使用效率。</w:t>
      </w:r>
    </w:p>
    <w:p>
      <w:pPr>
        <w:ind w:firstLineChars="200" w:firstLine="640"/>
        <w:rPr>
          <w:rFonts w:eastAsia="仿宋_GB2312"/>
          <w:b/>
          <w:sz w:val="32"/>
          <w:szCs w:val="32"/>
          <w:lang w:val="zh-CN"/>
        </w:rPr>
      </w:pPr>
      <w:r>
        <w:rPr>
          <w:rFonts w:eastAsia="仿宋_GB2312"/>
          <w:b/>
          <w:sz w:val="32"/>
          <w:szCs w:val="32"/>
          <w:lang w:val="zh-CN"/>
        </w:rPr>
        <w:t>五、存在主要问题</w:t>
      </w:r>
    </w:p>
    <w:p>
      <w:pPr>
        <w:widowControl/>
        <w:adjustRightInd w:val="0"/>
        <w:snapToGrid w:val="0"/>
        <w:spacing w:line="580" w:lineRule="exact"/>
        <w:ind w:firstLineChars="200" w:firstLine="640"/>
        <w:contextualSpacing/>
        <w:jc w:val="left"/>
        <w:rPr>
          <w:rFonts w:eastAsia="仿宋_GB2312"/>
          <w:sz w:val="32"/>
          <w:szCs w:val="32"/>
        </w:rPr>
      </w:pPr>
      <w:r>
        <w:rPr>
          <w:rFonts w:eastAsia="仿宋_GB2312"/>
          <w:kern w:val="0"/>
          <w:sz w:val="32"/>
          <w:szCs w:val="32"/>
        </w:rPr>
        <w:t>要保障项目规范有效地实施，还面临着许多困难和问题：</w:t>
      </w:r>
      <w:r>
        <w:rPr>
          <w:rFonts w:eastAsia="仿宋_GB2312"/>
          <w:sz w:val="32"/>
          <w:szCs w:val="32"/>
        </w:rPr>
        <w:t>本部门在预算项目执行中，还存在项目推进有滞后的情况。</w:t>
      </w:r>
    </w:p>
    <w:p>
      <w:pPr>
        <w:autoSpaceDE w:val="0"/>
        <w:autoSpaceDN w:val="0"/>
        <w:adjustRightInd w:val="0"/>
        <w:spacing w:line="600" w:lineRule="exact"/>
        <w:ind w:firstLineChars="200" w:firstLine="640"/>
        <w:jc w:val="left"/>
        <w:rPr>
          <w:rFonts w:eastAsia="仿宋_GB2312"/>
          <w:b/>
          <w:sz w:val="32"/>
          <w:szCs w:val="32"/>
          <w:lang w:val="zh-CN"/>
        </w:rPr>
      </w:pPr>
      <w:r>
        <w:rPr>
          <w:rFonts w:eastAsia="仿宋_GB2312"/>
          <w:b/>
          <w:sz w:val="32"/>
          <w:szCs w:val="32"/>
          <w:lang w:val="zh-CN"/>
        </w:rPr>
        <w:t>六、改进建议</w:t>
      </w:r>
    </w:p>
    <w:p>
      <w:pPr>
        <w:pStyle w:val="36"/>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一是继续加强项目资金的使用管理，继续完善相关的管理制度；二是加强对绩效评价工作的管理细化。</w:t>
      </w:r>
    </w:p>
    <w:p>
      <w:pPr>
        <w:adjustRightInd w:val="0"/>
        <w:snapToGrid w:val="0"/>
        <w:spacing w:line="560" w:lineRule="exact"/>
        <w:ind w:firstLine="720"/>
      </w:pPr>
    </w:p>
    <w:p>
      <w:pPr>
        <w:pStyle w:val="17"/>
      </w:pPr>
    </w:p>
    <w:p>
      <w:pPr>
        <w:pStyle w:val="17"/>
      </w:pPr>
    </w:p>
    <w:p>
      <w:pPr>
        <w:spacing w:line="600" w:lineRule="exact"/>
        <w:jc w:val="center"/>
        <w:outlineLvl w:val="0"/>
        <w:rPr>
          <w:rFonts w:eastAsia="黑体"/>
          <w:sz w:val="44"/>
          <w:szCs w:val="44"/>
        </w:rPr>
      </w:pPr>
      <w:bookmarkStart w:id="86" w:name="_Toc208843969"/>
      <w:r>
        <w:rPr>
          <w:rFonts w:eastAsia="黑体" w:hint="eastAsia"/>
          <w:sz w:val="44"/>
          <w:szCs w:val="44"/>
        </w:rPr>
        <w:t>第五部分 附表</w:t>
      </w:r>
      <w:bookmarkStart w:id="87" w:name="_Toc15396619"/>
      <w:bookmarkEnd w:id="80"/>
      <w:bookmarkEnd w:id="84"/>
      <w:bookmarkEnd w:id="86"/>
    </w:p>
    <w:p>
      <w:pPr>
        <w:pStyle w:val="24"/>
        <w:adjustRightInd w:val="0"/>
        <w:snapToGrid w:val="0"/>
        <w:spacing w:line="560" w:lineRule="exact"/>
        <w:rPr>
          <w:rFonts w:eastAsia="仿宋_GB2312" w:cs="仿宋_GB2312"/>
          <w:sz w:val="32"/>
          <w:szCs w:val="32"/>
        </w:rPr>
      </w:pPr>
    </w:p>
    <w:p>
      <w:pPr>
        <w:pStyle w:val="24"/>
        <w:adjustRightInd w:val="0"/>
        <w:snapToGrid w:val="0"/>
        <w:spacing w:line="560" w:lineRule="exact"/>
        <w:rPr>
          <w:rFonts w:eastAsia="仿宋_GB2312" w:cs="仿宋_GB2312"/>
          <w:sz w:val="32"/>
          <w:szCs w:val="32"/>
        </w:rPr>
      </w:pPr>
      <w:r>
        <w:rPr>
          <w:rFonts w:eastAsia="仿宋_GB2312" w:cs="仿宋_GB2312" w:hint="eastAsia"/>
          <w:sz w:val="32"/>
          <w:szCs w:val="32"/>
        </w:rPr>
        <w:t>一、收入支出决算总表</w:t>
      </w:r>
      <w:bookmarkEnd w:id="87"/>
    </w:p>
    <w:p>
      <w:pPr>
        <w:pStyle w:val="24"/>
        <w:adjustRightInd w:val="0"/>
        <w:snapToGrid w:val="0"/>
        <w:spacing w:line="560" w:lineRule="exact"/>
        <w:rPr>
          <w:rFonts w:eastAsia="仿宋_GB2312" w:cs="仿宋_GB2312"/>
          <w:sz w:val="32"/>
          <w:szCs w:val="32"/>
        </w:rPr>
      </w:pPr>
      <w:bookmarkStart w:id="88" w:name="_Toc15396620"/>
      <w:r>
        <w:rPr>
          <w:rFonts w:eastAsia="仿宋_GB2312" w:cs="仿宋_GB2312" w:hint="eastAsia"/>
          <w:sz w:val="32"/>
          <w:szCs w:val="32"/>
        </w:rPr>
        <w:t>二、收入决算表</w:t>
      </w:r>
      <w:bookmarkEnd w:id="88"/>
    </w:p>
    <w:p>
      <w:pPr>
        <w:pStyle w:val="24"/>
        <w:adjustRightInd w:val="0"/>
        <w:snapToGrid w:val="0"/>
        <w:spacing w:line="560" w:lineRule="exact"/>
        <w:rPr>
          <w:rFonts w:eastAsia="仿宋_GB2312" w:cs="仿宋_GB2312"/>
          <w:sz w:val="32"/>
          <w:szCs w:val="32"/>
        </w:rPr>
      </w:pPr>
      <w:bookmarkStart w:id="89" w:name="_Toc15396621"/>
      <w:r>
        <w:rPr>
          <w:rFonts w:eastAsia="仿宋_GB2312" w:cs="仿宋_GB2312" w:hint="eastAsia"/>
          <w:sz w:val="32"/>
          <w:szCs w:val="32"/>
        </w:rPr>
        <w:t>三、支出决算表</w:t>
      </w:r>
      <w:bookmarkEnd w:id="89"/>
    </w:p>
    <w:p>
      <w:pPr>
        <w:pStyle w:val="24"/>
        <w:adjustRightInd w:val="0"/>
        <w:snapToGrid w:val="0"/>
        <w:spacing w:line="560" w:lineRule="exact"/>
        <w:rPr>
          <w:rFonts w:eastAsia="仿宋_GB2312" w:cs="仿宋_GB2312"/>
          <w:sz w:val="32"/>
          <w:szCs w:val="32"/>
        </w:rPr>
      </w:pPr>
      <w:bookmarkStart w:id="90" w:name="_Toc15396622"/>
      <w:r>
        <w:rPr>
          <w:rFonts w:eastAsia="仿宋_GB2312" w:cs="仿宋_GB2312" w:hint="eastAsia"/>
          <w:sz w:val="32"/>
          <w:szCs w:val="32"/>
        </w:rPr>
        <w:t>四、财政拨款收入支出决算总表</w:t>
      </w:r>
      <w:bookmarkEnd w:id="90"/>
    </w:p>
    <w:p>
      <w:pPr>
        <w:pStyle w:val="24"/>
        <w:adjustRightInd w:val="0"/>
        <w:snapToGrid w:val="0"/>
        <w:spacing w:line="560" w:lineRule="exact"/>
        <w:rPr>
          <w:rFonts w:eastAsia="仿宋_GB2312" w:cs="仿宋_GB2312"/>
          <w:sz w:val="32"/>
          <w:szCs w:val="32"/>
        </w:rPr>
      </w:pPr>
      <w:bookmarkStart w:id="91" w:name="_Toc15396623"/>
      <w:r>
        <w:rPr>
          <w:rFonts w:eastAsia="仿宋_GB2312" w:cs="仿宋_GB2312" w:hint="eastAsia"/>
          <w:sz w:val="32"/>
          <w:szCs w:val="32"/>
        </w:rPr>
        <w:t>五、财政拨款支出决算明细表</w:t>
      </w:r>
      <w:bookmarkStart w:id="92" w:name="_Toc15396624"/>
      <w:bookmarkEnd w:id="91"/>
    </w:p>
    <w:p>
      <w:pPr>
        <w:pStyle w:val="24"/>
        <w:adjustRightInd w:val="0"/>
        <w:snapToGrid w:val="0"/>
        <w:spacing w:line="560" w:lineRule="exact"/>
        <w:rPr>
          <w:rFonts w:eastAsia="仿宋_GB2312" w:cs="仿宋_GB2312"/>
          <w:sz w:val="32"/>
          <w:szCs w:val="32"/>
        </w:rPr>
      </w:pPr>
      <w:r>
        <w:rPr>
          <w:rFonts w:eastAsia="仿宋_GB2312" w:cs="仿宋_GB2312" w:hint="eastAsia"/>
          <w:sz w:val="32"/>
          <w:szCs w:val="32"/>
        </w:rPr>
        <w:t>六、一般公共预算财政拨款支出决算表</w:t>
      </w:r>
      <w:bookmarkEnd w:id="92"/>
    </w:p>
    <w:p>
      <w:pPr>
        <w:pStyle w:val="24"/>
        <w:adjustRightInd w:val="0"/>
        <w:snapToGrid w:val="0"/>
        <w:spacing w:line="560" w:lineRule="exact"/>
        <w:rPr>
          <w:rFonts w:eastAsia="仿宋_GB2312" w:cs="仿宋_GB2312"/>
          <w:sz w:val="32"/>
          <w:szCs w:val="32"/>
        </w:rPr>
      </w:pPr>
      <w:bookmarkStart w:id="93" w:name="_Toc15396625"/>
      <w:r>
        <w:rPr>
          <w:rFonts w:eastAsia="仿宋_GB2312" w:cs="仿宋_GB2312" w:hint="eastAsia"/>
          <w:sz w:val="32"/>
          <w:szCs w:val="32"/>
        </w:rPr>
        <w:t>七、一般公共预算财政拨款支出决算明细表</w:t>
      </w:r>
      <w:bookmarkEnd w:id="93"/>
    </w:p>
    <w:p>
      <w:pPr>
        <w:pStyle w:val="24"/>
        <w:adjustRightInd w:val="0"/>
        <w:snapToGrid w:val="0"/>
        <w:spacing w:line="560" w:lineRule="exact"/>
        <w:rPr>
          <w:rFonts w:eastAsia="仿宋_GB2312" w:cs="仿宋_GB2312"/>
          <w:sz w:val="32"/>
          <w:szCs w:val="32"/>
        </w:rPr>
      </w:pPr>
      <w:bookmarkStart w:id="94" w:name="_Toc15396626"/>
      <w:r>
        <w:rPr>
          <w:rFonts w:eastAsia="仿宋_GB2312" w:cs="仿宋_GB2312" w:hint="eastAsia"/>
          <w:sz w:val="32"/>
          <w:szCs w:val="32"/>
        </w:rPr>
        <w:t>八、一般公共预算财政拨款基本支出决算表</w:t>
      </w:r>
      <w:bookmarkEnd w:id="94"/>
    </w:p>
    <w:p>
      <w:pPr>
        <w:pStyle w:val="24"/>
        <w:adjustRightInd w:val="0"/>
        <w:snapToGrid w:val="0"/>
        <w:spacing w:line="560" w:lineRule="exact"/>
        <w:rPr>
          <w:rFonts w:eastAsia="仿宋_GB2312" w:cs="仿宋_GB2312"/>
          <w:sz w:val="32"/>
          <w:szCs w:val="32"/>
        </w:rPr>
      </w:pPr>
      <w:bookmarkStart w:id="95" w:name="_Toc15396627"/>
      <w:r>
        <w:rPr>
          <w:rFonts w:eastAsia="仿宋_GB2312" w:cs="仿宋_GB2312" w:hint="eastAsia"/>
          <w:sz w:val="32"/>
          <w:szCs w:val="32"/>
        </w:rPr>
        <w:t>九、一般公共预算财政拨款项目支出决算表</w:t>
      </w:r>
      <w:bookmarkEnd w:id="95"/>
    </w:p>
    <w:p>
      <w:pPr>
        <w:pStyle w:val="24"/>
        <w:adjustRightInd w:val="0"/>
        <w:snapToGrid w:val="0"/>
        <w:spacing w:line="560" w:lineRule="exact"/>
        <w:rPr>
          <w:rFonts w:eastAsia="仿宋_GB2312" w:cs="仿宋_GB2312"/>
          <w:sz w:val="32"/>
          <w:szCs w:val="32"/>
        </w:rPr>
      </w:pPr>
      <w:bookmarkStart w:id="96" w:name="_Toc15396628"/>
      <w:r>
        <w:rPr>
          <w:rFonts w:eastAsia="仿宋_GB2312" w:cs="仿宋_GB2312" w:hint="eastAsia"/>
          <w:sz w:val="32"/>
          <w:szCs w:val="32"/>
        </w:rPr>
        <w:t>十、</w:t>
      </w:r>
      <w:bookmarkEnd w:id="96"/>
      <w:r>
        <w:rPr>
          <w:rFonts w:eastAsia="仿宋_GB2312" w:cs="仿宋_GB2312" w:hint="eastAsia"/>
          <w:sz w:val="32"/>
          <w:szCs w:val="32"/>
        </w:rPr>
        <w:t>政府性基金预算财政拨款收入支出决算表</w:t>
      </w:r>
    </w:p>
    <w:p>
      <w:pPr>
        <w:pStyle w:val="24"/>
        <w:adjustRightInd w:val="0"/>
        <w:snapToGrid w:val="0"/>
        <w:spacing w:line="560" w:lineRule="exact"/>
        <w:rPr>
          <w:rFonts w:eastAsia="仿宋_GB2312" w:cs="仿宋_GB2312"/>
          <w:sz w:val="32"/>
          <w:szCs w:val="32"/>
        </w:rPr>
      </w:pPr>
      <w:bookmarkStart w:id="97" w:name="_Toc15396629"/>
      <w:r>
        <w:rPr>
          <w:rFonts w:eastAsia="仿宋_GB2312" w:cs="仿宋_GB2312" w:hint="eastAsia"/>
          <w:sz w:val="32"/>
          <w:szCs w:val="32"/>
        </w:rPr>
        <w:t>十一、</w:t>
      </w:r>
      <w:bookmarkEnd w:id="97"/>
      <w:r>
        <w:rPr>
          <w:rFonts w:eastAsia="仿宋_GB2312" w:cs="仿宋_GB2312" w:hint="eastAsia"/>
          <w:sz w:val="32"/>
          <w:szCs w:val="32"/>
        </w:rPr>
        <w:t>国有资本经营预算财政拨款收入支出决算表</w:t>
      </w:r>
    </w:p>
    <w:p>
      <w:pPr>
        <w:pStyle w:val="24"/>
        <w:adjustRightInd w:val="0"/>
        <w:snapToGrid w:val="0"/>
        <w:spacing w:line="560" w:lineRule="exact"/>
        <w:rPr>
          <w:rFonts w:eastAsia="仿宋_GB2312" w:cs="仿宋_GB2312"/>
          <w:sz w:val="32"/>
          <w:szCs w:val="32"/>
        </w:rPr>
      </w:pPr>
      <w:bookmarkStart w:id="98" w:name="_Toc15396630"/>
      <w:r>
        <w:rPr>
          <w:rFonts w:eastAsia="仿宋_GB2312" w:cs="仿宋_GB2312" w:hint="eastAsia"/>
          <w:sz w:val="32"/>
          <w:szCs w:val="32"/>
        </w:rPr>
        <w:t>十二、</w:t>
      </w:r>
      <w:bookmarkEnd w:id="98"/>
      <w:r>
        <w:rPr>
          <w:rFonts w:eastAsia="仿宋_GB2312" w:cs="仿宋_GB2312" w:hint="eastAsia"/>
          <w:sz w:val="32"/>
          <w:szCs w:val="32"/>
        </w:rPr>
        <w:t>国有资本经营预算财政拨款支出决算表</w:t>
      </w:r>
    </w:p>
    <w:p>
      <w:pPr>
        <w:pStyle w:val="24"/>
        <w:adjustRightInd w:val="0"/>
        <w:snapToGrid w:val="0"/>
        <w:spacing w:line="560" w:lineRule="exact"/>
        <w:rPr>
          <w:rFonts w:eastAsia="仿宋_GB2312" w:cs="仿宋_GB2312"/>
          <w:sz w:val="32"/>
          <w:szCs w:val="32"/>
        </w:rPr>
      </w:pPr>
      <w:bookmarkStart w:id="99" w:name="_Toc15396631"/>
      <w:r>
        <w:rPr>
          <w:rFonts w:eastAsia="仿宋_GB2312" w:cs="仿宋_GB2312" w:hint="eastAsia"/>
          <w:sz w:val="32"/>
          <w:szCs w:val="32"/>
        </w:rPr>
        <w:t>十三、</w:t>
      </w:r>
      <w:bookmarkEnd w:id="99"/>
      <w:r>
        <w:rPr>
          <w:rFonts w:eastAsia="仿宋_GB2312" w:cs="仿宋_GB2312" w:hint="eastAsia"/>
          <w:sz w:val="32"/>
          <w:szCs w:val="32"/>
        </w:rPr>
        <w:t>财政拨款“三公”经费支出决算表</w:t>
      </w:r>
    </w:p>
    <w:p/>
    <w:sectPr>
      <w:footerReference w:type="default" r:id="rId4"/>
      <w:footerReference w:type="first" r:id="rId5"/>
      <w:pgSz w:w="11906" w:h="16838"/>
      <w:pgMar w:top="1440" w:right="1800" w:bottom="1440" w:left="1800" w:header="851" w:footer="992" w:gutter="0"/>
      <w:pgNumType w:fmt="numberInDash"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永中宋体"/>
    <w:panose1 w:val="02010609060101010101"/>
    <w:charset w:val="86"/>
    <w:family w:val="modern"/>
    <w:pitch w:val="variable"/>
    <w:sig w:usb0="800002BF" w:usb1="38CF7CFA" w:usb2="00000016" w:usb3="00000000" w:csb0="00040001" w:csb1="00000000"/>
  </w:font>
  <w:font w:name="仿宋_GB2312">
    <w:altName w:val="永中仿宋"/>
    <w:panose1 w:val="02010609030101010101"/>
    <w:charset w:val="86"/>
    <w:family w:val="modern"/>
    <w:pitch w:val="variable"/>
    <w:sig w:usb0="00000001" w:usb1="080E0000" w:usb2="00000010" w:usb3="00000000" w:csb0="00040000" w:csb1="00000000"/>
  </w:font>
  <w:font w:name="Calibri">
    <w:altName w:val="Times New Roman"/>
    <w:panose1 w:val="020F0502020204030204"/>
    <w:charset w:val="00"/>
    <w:family w:val="swiss"/>
    <w:pitch w:val="variable"/>
    <w:sig w:usb0="E00002FF" w:usb1="4000ACFF" w:usb2="00000001" w:usb3="00000000" w:csb0="0000019F" w:csb1="00000000"/>
  </w:font>
  <w:font w:name="宋体">
    <w:altName w:val="永中宋体"/>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楷体_GB2312">
    <w:altName w:val="永中楷体"/>
    <w:panose1 w:val="02010609030101010101"/>
    <w:charset w:val="86"/>
    <w:family w:val="modern"/>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Cambria">
    <w:altName w:val="DejaVu Sans"/>
    <w:panose1 w:val="02040503050406030204"/>
    <w:charset w:val="00"/>
    <w:family w:val="roman"/>
    <w:pitch w:val="variable"/>
    <w:sig w:usb0="E00002FF" w:usb1="400004FF" w:usb2="00000000" w:usb3="00000000" w:csb0="0000019F" w:csb1="00000000"/>
  </w:font>
  <w:font w:name="仿宋">
    <w:altName w:val="永中仿宋"/>
    <w:panose1 w:val="02010609060101010101"/>
    <w:charset w:val="86"/>
    <w:family w:val="modern"/>
    <w:pitch w:val="variable"/>
    <w:sig w:usb0="800002BF" w:usb1="38CF7CFA" w:usb2="00000016" w:usb3="00000000" w:csb0="00040001" w:csb1="00000000"/>
  </w:font>
  <w:font w:name="??">
    <w:altName w:val="DejaVu Sans"/>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ind w:left="210"/>
      <w:jc w:val="left"/>
    </w:pPr>
    <w:rPr>
      <w:rFonts w:ascii="Calibri" w:hAnsi="Calibri"/>
      <w:sz w:val="20"/>
      <w:szCs w:val="20"/>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spacing w:before="360"/>
      <w:jc w:val="left"/>
    </w:pPr>
    <w:rPr>
      <w:rFonts w:ascii="Cambria" w:hAnsi="Cambria"/>
      <w:b/>
      <w:bCs/>
      <w:caps/>
      <w:smallCaps w:val="0"/>
      <w:sz w:val="24"/>
    </w:rPr>
  </w:style>
  <w:style w:type="paragraph" w:styleId="24">
    <w:name w:val="toc 2"/>
    <w:basedOn w:val="0"/>
    <w:next w:val="0"/>
    <w:pPr>
      <w:spacing w:before="240"/>
      <w:jc w:val="left"/>
    </w:pPr>
    <w:rPr>
      <w:rFonts w:ascii="Calibri" w:hAnsi="Calibri"/>
      <w:b/>
      <w:bCs/>
      <w:sz w:val="20"/>
      <w:szCs w:val="20"/>
    </w:r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4">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5">
    <w:name w:val="四号正文"/>
    <w:basedOn w:val="0"/>
    <w:pPr>
      <w:spacing w:line="360" w:lineRule="auto"/>
    </w:pPr>
    <w:rPr>
      <w:rFonts w:ascii="??" w:hAnsi="??"/>
      <w:color w:val="000000"/>
      <w:kern w:val="0"/>
      <w:sz w:val="28"/>
      <w:szCs w:val="21"/>
      <w:lang w:val="zh-CN"/>
    </w:rPr>
  </w:style>
  <w:style w:type="paragraph" w:styleId="36">
    <w:name w:val="Plain Text"/>
    <w:basedOn w:val="0"/>
    <w:rPr>
      <w:rFonts w:ascii="宋体"/>
    </w:rPr>
  </w:style>
  <w:style w:type="paragraph" w:styleId="37">
    <w:name w:val="TOC Heading"/>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38">
    <w:name w:val="toc 4"/>
    <w:basedOn w:val="0"/>
    <w:autoRedefine/>
    <w:next w:val="0"/>
    <w:pPr>
      <w:ind w:left="420"/>
      <w:jc w:val="left"/>
    </w:pPr>
    <w:rPr>
      <w:rFonts w:ascii="Calibri" w:hAnsi="Calibri"/>
      <w:sz w:val="20"/>
      <w:szCs w:val="20"/>
    </w:rPr>
  </w:style>
  <w:style w:type="paragraph" w:styleId="39">
    <w:name w:val="toc 5"/>
    <w:basedOn w:val="0"/>
    <w:autoRedefine/>
    <w:next w:val="0"/>
    <w:pPr>
      <w:ind w:left="630"/>
      <w:jc w:val="left"/>
    </w:pPr>
    <w:rPr>
      <w:rFonts w:ascii="Calibri" w:hAnsi="Calibri"/>
      <w:sz w:val="20"/>
      <w:szCs w:val="20"/>
    </w:rPr>
  </w:style>
  <w:style w:type="paragraph" w:styleId="40">
    <w:name w:val="toc 6"/>
    <w:basedOn w:val="0"/>
    <w:autoRedefine/>
    <w:next w:val="0"/>
    <w:pPr>
      <w:ind w:left="840"/>
      <w:jc w:val="left"/>
    </w:pPr>
    <w:rPr>
      <w:rFonts w:ascii="Calibri" w:hAnsi="Calibri"/>
      <w:sz w:val="20"/>
      <w:szCs w:val="20"/>
    </w:rPr>
  </w:style>
  <w:style w:type="paragraph" w:styleId="41">
    <w:name w:val="toc 7"/>
    <w:basedOn w:val="0"/>
    <w:autoRedefine/>
    <w:next w:val="0"/>
    <w:pPr>
      <w:ind w:left="1050"/>
      <w:jc w:val="left"/>
    </w:pPr>
    <w:rPr>
      <w:rFonts w:ascii="Calibri" w:hAnsi="Calibri"/>
      <w:sz w:val="20"/>
      <w:szCs w:val="20"/>
    </w:rPr>
  </w:style>
  <w:style w:type="paragraph" w:styleId="42">
    <w:name w:val="toc 8"/>
    <w:basedOn w:val="0"/>
    <w:autoRedefine/>
    <w:next w:val="0"/>
    <w:pPr>
      <w:ind w:left="1260"/>
      <w:jc w:val="left"/>
    </w:pPr>
    <w:rPr>
      <w:rFonts w:ascii="Calibri" w:hAnsi="Calibri"/>
      <w:sz w:val="20"/>
      <w:szCs w:val="20"/>
    </w:rPr>
  </w:style>
  <w:style w:type="paragraph" w:styleId="43">
    <w:name w:val="toc 9"/>
    <w:basedOn w:val="0"/>
    <w:autoRedefine/>
    <w:next w:val="0"/>
    <w:pPr>
      <w:ind w:left="1470"/>
      <w:jc w:val="left"/>
    </w:pPr>
    <w:rPr>
      <w:rFonts w:ascii="Calibri" w:hAnsi="Calibri"/>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styles" Target="styles.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收入、支出决算总计变动情况图</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2023年</c:v>
              </c:pt>
              <c:pt idx="1">
                <c:v>2024年</c:v>
              </c:pt>
            </c:strLit>
          </c:cat>
          <c:val>
            <c:numRef>
              <c:f/>
              <c:numCache>
                <c:formatCode>General</c:formatCode>
                <c:ptCount val="2"/>
                <c:pt idx="0">
                  <c:v>2109.810000000002</c:v>
                </c:pt>
                <c:pt idx="1">
                  <c:v>2163.7799999999997</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收入决算结构图</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FF0000"/>
              </a:solidFill>
              <a:ln w="6350">
                <a:solidFill>
                  <a:srgbClr val="FFFFFF"/>
                </a:solidFill>
                <a:prstDash val="solid"/>
              </a:ln>
              <a:effectLst>
                <a:outerShdw dist="35921" dir="2700000" algn="br">
                  <a:srgbClr val="000000"/>
                </a:outerShdw>
              </a:effectLst>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
              <c:idx val="0"/>
              <c:layout>
                <c:manualLayout>
                  <c:x val="0.050394516"/>
                  <c:y val="-0.14248127"/>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1"/>
              <c:layout>
                <c:manualLayout>
                  <c:x val="-0.161971"/>
                  <c:y val="0.008846322"/>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2"/>
              <c:pt idx="0">
                <c:v>一般公共预算财政拨款收入</c:v>
              </c:pt>
              <c:pt idx="1">
                <c:v>其他收入</c:v>
              </c:pt>
            </c:strLit>
          </c:cat>
          <c:val>
            <c:numRef>
              <c:f/>
              <c:numCache>
                <c:formatCode>General</c:formatCode>
                <c:ptCount val="2"/>
                <c:pt idx="0">
                  <c:v>2152.88</c:v>
                </c:pt>
                <c:pt idx="1">
                  <c:v>3.3</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支出决算结构图</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1782.12</c:v>
                </c:pt>
                <c:pt idx="1">
                  <c:v>370.76</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一般公共预算财政拨款支出决算变动情况</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2023年</c:v>
              </c:pt>
              <c:pt idx="1">
                <c:v>2024年</c:v>
              </c:pt>
            </c:strLit>
          </c:cat>
          <c:val>
            <c:numRef>
              <c:f/>
              <c:numCache>
                <c:formatCode>General</c:formatCode>
                <c:ptCount val="2"/>
                <c:pt idx="0">
                  <c:v>2109.810000000002</c:v>
                </c:pt>
                <c:pt idx="1">
                  <c:v>2152.88</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一般公共预算财政拨款支出决算结构</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
              <c:idx val="2"/>
              <c:layout>
                <c:manualLayout>
                  <c:x val="-0.118355066"/>
                  <c:y val="-0.043463394"/>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3"/>
              <c:layout>
                <c:manualLayout>
                  <c:x val="0.142009"/>
                  <c:y val="-0.02590653"/>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4"/>
              <c:pt idx="0">
                <c:v>一般公共服务支出</c:v>
              </c:pt>
              <c:pt idx="1">
                <c:v>社会保障和就业支出</c:v>
              </c:pt>
              <c:pt idx="2">
                <c:v>卫生健康支出</c:v>
              </c:pt>
              <c:pt idx="3">
                <c:v>住房保障支出</c:v>
              </c:pt>
            </c:strLit>
          </c:cat>
          <c:val>
            <c:numRef>
              <c:f/>
              <c:numCache>
                <c:formatCode>General</c:formatCode>
                <c:ptCount val="4"/>
                <c:pt idx="0">
                  <c:v>1488.71</c:v>
                </c:pt>
                <c:pt idx="1">
                  <c:v>486.66</c:v>
                </c:pt>
                <c:pt idx="2">
                  <c:v>75.13</c:v>
                </c:pt>
                <c:pt idx="3">
                  <c:v>102.38</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“三公”经费财政拨款支出结构</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3"/>
              <c:pt idx="0">
                <c:v>因公出国（境）费</c:v>
              </c:pt>
              <c:pt idx="1">
                <c:v>务用车购置及运行维护费</c:v>
              </c:pt>
              <c:pt idx="2">
                <c:v>公务接待费</c:v>
              </c:pt>
            </c:strLit>
          </c:cat>
          <c:val>
            <c:numRef>
              <c:f/>
              <c:numCache>
                <c:formatCode>General</c:formatCode>
                <c:ptCount val="3"/>
                <c:pt idx="0">
                  <c:v>11.29</c:v>
                </c:pt>
                <c:pt idx="1">
                  <c:v>17.52</c:v>
                </c:pt>
                <c:pt idx="2">
                  <c:v>1.83</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162</TotalTime>
  <Application>Yozo_Office27021597764231179</Application>
  <Pages>36</Pages>
  <Words>12297</Words>
  <Characters>13397</Characters>
  <Lines>725</Lines>
  <Paragraphs>292</Paragraphs>
  <CharactersWithSpaces>13564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49</cp:revision>
  <cp:lastPrinted>2025-08-06T17:34:00Z</cp:lastPrinted>
  <dcterms:created xsi:type="dcterms:W3CDTF">2025-09-05T08:02:00Z</dcterms:created>
  <dcterms:modified xsi:type="dcterms:W3CDTF">2025-09-16T07:14:49Z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eyJoZGlkIjoiNzYxMjY3MzYyZGM0ZWVkMWRiNGU1NDBiMTE2YTNhNjYiLCJ1c2VySWQiOiI3NDgxNTcwOTIifQ==</vt:lpwstr>
  </property>
</Properties>
</file>