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bmp" ContentType="image/bmp"/>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outlineLvl w:val="0"/>
        <w:rPr>
          <w:rFonts w:ascii="方正小标宋简体" w:eastAsia="方正小标宋简体"/>
          <w:sz w:val="72"/>
          <w:szCs w:val="72"/>
        </w:rPr>
      </w:pPr>
      <w:bookmarkStart w:id="0" w:name="_Toc15378441"/>
      <w:bookmarkStart w:id="1" w:name="_Toc15377193"/>
      <w:bookmarkStart w:id="2" w:name="_Toc15396597"/>
      <w:bookmarkStart w:id="3" w:name="_Toc15396475"/>
      <w:bookmarkStart w:id="4" w:name="_Toc15377425"/>
      <w:bookmarkStart w:id="5" w:name="_Toc15306267"/>
    </w:p>
    <w:p>
      <w:pPr>
        <w:pStyle w:val="16"/>
        <w:spacing w:beforeLines="0" w:before="93"/>
      </w:pPr>
    </w:p>
    <w:p>
      <w:pPr>
        <w:spacing w:line="600" w:lineRule="exact"/>
        <w:jc w:val="center"/>
        <w:outlineLvl w:val="0"/>
        <w:rPr>
          <w:rFonts w:ascii="方正小标宋简体" w:eastAsia="方正小标宋简体"/>
          <w:sz w:val="72"/>
          <w:szCs w:val="72"/>
        </w:rPr>
      </w:pPr>
    </w:p>
    <w:p>
      <w:pPr>
        <w:spacing w:line="600" w:lineRule="exact"/>
        <w:jc w:val="center"/>
        <w:outlineLvl w:val="0"/>
        <w:rPr>
          <w:rFonts w:ascii="方正小标宋简体" w:eastAsia="方正小标宋简体"/>
          <w:sz w:val="72"/>
          <w:szCs w:val="72"/>
        </w:rPr>
      </w:pPr>
    </w:p>
    <w:p>
      <w:pPr>
        <w:adjustRightInd w:val="0"/>
        <w:snapToGrid w:val="0"/>
        <w:spacing w:line="360" w:lineRule="auto"/>
        <w:jc w:val="center"/>
        <w:outlineLvl w:val="0"/>
        <w:rPr>
          <w:rFonts w:ascii="方正小标宋简体" w:eastAsia="方正小标宋简体" w:cs="方正小标宋简体"/>
          <w:sz w:val="38"/>
          <w:szCs w:val="38"/>
        </w:rPr>
      </w:pPr>
      <w:bookmarkStart w:id="6" w:name="_Toc176800653"/>
      <w:r>
        <w:rPr>
          <w:rFonts w:ascii="方正小标宋简体" w:eastAsia="方正小标宋简体" w:cs="方正小标宋简体" w:hint="eastAsia"/>
          <w:sz w:val="38"/>
          <w:szCs w:val="38"/>
        </w:rPr>
        <w:t>2023年度</w:t>
      </w:r>
      <w:bookmarkEnd w:id="0"/>
      <w:bookmarkEnd w:id="1"/>
      <w:bookmarkEnd w:id="2"/>
      <w:bookmarkEnd w:id="3"/>
      <w:bookmarkEnd w:id="4"/>
      <w:bookmarkEnd w:id="6"/>
    </w:p>
    <w:p>
      <w:pPr>
        <w:adjustRightInd w:val="0"/>
        <w:snapToGrid w:val="0"/>
        <w:spacing w:line="360" w:lineRule="auto"/>
        <w:jc w:val="center"/>
        <w:outlineLvl w:val="0"/>
        <w:rPr>
          <w:rFonts w:ascii="方正小标宋简体" w:eastAsia="方正小标宋简体" w:cs="方正小标宋简体"/>
          <w:sz w:val="38"/>
          <w:szCs w:val="38"/>
        </w:rPr>
      </w:pPr>
      <w:bookmarkStart w:id="7" w:name="_Toc176800654"/>
      <w:bookmarkStart w:id="8" w:name="_Toc15306268"/>
      <w:bookmarkStart w:id="9" w:name="_Toc15377426"/>
      <w:bookmarkStart w:id="10" w:name="_Toc15396476"/>
      <w:bookmarkStart w:id="11" w:name="_Toc15378442"/>
      <w:bookmarkStart w:id="12" w:name="_Toc15377194"/>
      <w:bookmarkStart w:id="13" w:name="_Toc15396598"/>
      <w:bookmarkEnd w:id="5"/>
      <w:r>
        <w:rPr>
          <w:rFonts w:ascii="方正小标宋简体" w:eastAsia="方正小标宋简体" w:cs="方正小标宋简体"/>
          <w:sz w:val="38"/>
          <w:szCs w:val="38"/>
        </w:rPr>
        <w:t>中国人民政治协商会议</w:t>
      </w:r>
      <w:bookmarkEnd w:id="7"/>
    </w:p>
    <w:p>
      <w:pPr>
        <w:adjustRightInd w:val="0"/>
        <w:snapToGrid w:val="0"/>
        <w:spacing w:line="360" w:lineRule="auto"/>
        <w:jc w:val="center"/>
        <w:outlineLvl w:val="0"/>
        <w:rPr>
          <w:rFonts w:ascii="方正小标宋简体" w:eastAsia="方正小标宋简体" w:cs="方正小标宋简体"/>
          <w:sz w:val="38"/>
          <w:szCs w:val="38"/>
        </w:rPr>
      </w:pPr>
      <w:bookmarkStart w:id="14" w:name="_Toc176800655"/>
      <w:r>
        <w:rPr>
          <w:rFonts w:ascii="方正小标宋简体" w:eastAsia="方正小标宋简体" w:cs="方正小标宋简体"/>
          <w:sz w:val="38"/>
          <w:szCs w:val="38"/>
        </w:rPr>
        <w:t>四川省攀枝花市委员会办公室</w:t>
      </w:r>
      <w:r>
        <w:rPr>
          <w:rFonts w:ascii="方正小标宋简体" w:eastAsia="方正小标宋简体" w:cs="方正小标宋简体" w:hint="eastAsia"/>
          <w:sz w:val="38"/>
          <w:szCs w:val="38"/>
        </w:rPr>
        <w:t>部门决算</w:t>
      </w:r>
      <w:bookmarkEnd w:id="8"/>
      <w:bookmarkEnd w:id="9"/>
      <w:bookmarkEnd w:id="10"/>
      <w:bookmarkEnd w:id="11"/>
      <w:bookmarkEnd w:id="12"/>
      <w:bookmarkEnd w:id="13"/>
      <w:bookmarkEnd w:id="14"/>
    </w:p>
    <w:p>
      <w:pPr>
        <w:widowControl/>
        <w:jc w:val="center"/>
        <w:rPr>
          <w:rFonts w:ascii="黑体" w:eastAsia="黑体"/>
          <w:sz w:val="48"/>
          <w:szCs w:val="48"/>
        </w:rPr>
      </w:pPr>
      <w:r>
        <w:rPr>
          <w:rFonts w:ascii="方正小标宋简体" w:eastAsia="方正小标宋简体"/>
          <w:sz w:val="36"/>
          <w:szCs w:val="36"/>
        </w:rPr>
        <w:br w:type="page"/>
      </w:r>
    </w:p>
    <w:sdt>
      <w:sdtPr>
        <w:rPr>
          <w:rFonts w:ascii="Times New Roman" w:eastAsia="宋体" w:cs="Times New Roman" w:hAnsi="Times New Roman"/>
          <w:b w:val="0"/>
          <w:bCs w:val="0"/>
          <w:color w:val="auto"/>
          <w:kern w:val="2"/>
          <w:sz w:val="21"/>
          <w:szCs w:val="24"/>
          <w:lang w:val="zh-CN"/>
        </w:rPr>
        <w:id w:val="-370603557"/>
        <w:docPartObj>
          <w:docPartGallery w:val="Table of Contents"/>
          <w:docPartUnique/>
        </w:docPartObj>
      </w:sdtPr>
      <w:sdtEndPr>
        <w:rPr>
          <w:lang w:val="en-US"/>
        </w:rPr>
      </w:sdtEndPr>
      <w:sdtContent>
        <w:p>
          <w:pPr>
            <w:pStyle w:val="37"/>
            <w:rPr>
              <w:lang w:val="zh-CN"/>
            </w:rPr>
          </w:pPr>
          <w:r>
            <w:rPr>
              <w:lang w:val="zh-CN"/>
            </w:rPr>
            <w:t>目录</w:t>
          </w:r>
        </w:p>
        <w:p>
          <w:pPr>
            <w:pStyle w:val="23"/>
            <w:tabs>
              <w:tab w:val="right" w:leader="dot" w:pos="8296"/>
            </w:tabs>
          </w:pPr>
          <w:r>
            <w:rPr>
              <w:rFonts w:hint="eastAsia"/>
            </w:rPr>
            <w:t xml:space="preserve">公开时间：2023年9月 </w:t>
          </w:r>
          <w:r>
            <w:t>12</w:t>
          </w:r>
          <w:r>
            <w:rPr>
              <w:rFonts w:hint="eastAsia"/>
            </w:rPr>
            <w:t xml:space="preserve"> 日</w:t>
          </w:r>
        </w:p>
        <w:p>
          <w:pPr>
            <w:rPr>
              <w:lang w:val="zh-CN"/>
            </w:rPr>
          </w:pPr>
        </w:p>
        <w:p>
          <w:pPr>
            <w:pStyle w:val="23"/>
            <w:tabs>
              <w:tab w:val="right" w:leader="dot" w:pos="8296"/>
            </w:tabs>
            <w:rPr>
              <w:rFonts w:ascii="Calibri" w:eastAsia="宋体" w:cs="Arial" w:hAnsi="Calibri"/>
              <w:sz w:val="21"/>
              <w:szCs w:val="22"/>
            </w:rPr>
          </w:pPr>
          <w:r>
            <w:fldChar w:fldCharType="begin"/>
          </w:r>
          <w:r>
            <w:instrText xml:space="preserve"> TOC \o "1-3" \h \z \u </w:instrText>
          </w:r>
          <w:r>
            <w:fldChar w:fldCharType="separate"/>
          </w:r>
          <w:r>
            <w:fldChar w:fldCharType="begin"/>
          </w:r>
          <w:r>
            <w:instrText>Hyperlink \l "_Toc176800653"</w:instrText>
          </w:r>
          <w:r>
            <w:fldChar w:fldCharType="separate"/>
          </w:r>
          <w:r>
            <w:rPr>
              <w:rFonts w:ascii="方正小标宋简体" w:eastAsia="方正小标宋简体" w:cs="方正小标宋简体"/>
            </w:rPr>
            <w:t>2023</w:t>
          </w:r>
          <w:r>
            <w:rPr>
              <w:rFonts w:ascii="方正小标宋简体" w:eastAsia="方正小标宋简体" w:cs="方正小标宋简体" w:hint="eastAsia"/>
            </w:rPr>
            <w:t>年度</w:t>
          </w:r>
          <w:r>
            <w:tab/>
          </w:r>
          <w:r>
            <w:fldChar w:fldCharType="begin"/>
          </w:r>
          <w:r>
            <w:instrText xml:space="preserve"> PAGEREF _Toc176800653 \h </w:instrText>
          </w:r>
          <w:r>
            <w:fldChar w:fldCharType="separate"/>
          </w:r>
          <w:r>
            <w:t>1</w:t>
          </w:r>
          <w:r>
            <w:fldChar w:fldCharType="end"/>
          </w:r>
          <w:r>
            <w:fldChar w:fldCharType="end"/>
          </w:r>
        </w:p>
        <w:p>
          <w:pPr>
            <w:pStyle w:val="23"/>
            <w:tabs>
              <w:tab w:val="right" w:leader="dot" w:pos="8296"/>
            </w:tabs>
            <w:rPr>
              <w:rFonts w:ascii="Calibri" w:eastAsia="宋体" w:cs="Arial" w:hAnsi="Calibri"/>
              <w:sz w:val="21"/>
              <w:szCs w:val="22"/>
            </w:rPr>
          </w:pPr>
          <w:r>
            <w:fldChar w:fldCharType="begin"/>
          </w:r>
          <w:r>
            <w:instrText>Hyperlink \l "_Toc176800654"</w:instrText>
          </w:r>
          <w:r>
            <w:fldChar w:fldCharType="separate"/>
          </w:r>
          <w:r>
            <w:rPr>
              <w:rFonts w:ascii="方正小标宋简体" w:eastAsia="方正小标宋简体" w:cs="方正小标宋简体" w:hint="eastAsia"/>
            </w:rPr>
            <w:t>中国人民政治协商会议</w:t>
          </w:r>
          <w:r>
            <w:tab/>
          </w:r>
          <w:r>
            <w:fldChar w:fldCharType="begin"/>
          </w:r>
          <w:r>
            <w:instrText xml:space="preserve"> PAGEREF _Toc176800654 \h </w:instrText>
          </w:r>
          <w:r>
            <w:fldChar w:fldCharType="separate"/>
          </w:r>
          <w:r>
            <w:t>1</w:t>
          </w:r>
          <w:r>
            <w:fldChar w:fldCharType="end"/>
          </w:r>
          <w:r>
            <w:fldChar w:fldCharType="end"/>
          </w:r>
        </w:p>
        <w:p>
          <w:pPr>
            <w:pStyle w:val="23"/>
            <w:tabs>
              <w:tab w:val="right" w:leader="dot" w:pos="8296"/>
            </w:tabs>
            <w:rPr>
              <w:rFonts w:ascii="Calibri" w:eastAsia="宋体" w:cs="Arial" w:hAnsi="Calibri"/>
              <w:sz w:val="21"/>
              <w:szCs w:val="22"/>
            </w:rPr>
          </w:pPr>
          <w:r>
            <w:fldChar w:fldCharType="begin"/>
          </w:r>
          <w:r>
            <w:instrText>Hyperlink \l "_Toc176800655"</w:instrText>
          </w:r>
          <w:r>
            <w:fldChar w:fldCharType="separate"/>
          </w:r>
          <w:r>
            <w:rPr>
              <w:rFonts w:ascii="方正小标宋简体" w:eastAsia="方正小标宋简体" w:cs="方正小标宋简体" w:hint="eastAsia"/>
            </w:rPr>
            <w:t>四川省攀枝花市委员会办公室部门决算</w:t>
          </w:r>
          <w:r>
            <w:tab/>
          </w:r>
          <w:r>
            <w:fldChar w:fldCharType="begin"/>
          </w:r>
          <w:r>
            <w:instrText xml:space="preserve"> PAGEREF _Toc176800655 \h </w:instrText>
          </w:r>
          <w:r>
            <w:fldChar w:fldCharType="separate"/>
          </w:r>
          <w:r>
            <w:t>1</w:t>
          </w:r>
          <w:r>
            <w:fldChar w:fldCharType="end"/>
          </w:r>
          <w:r>
            <w:fldChar w:fldCharType="end"/>
          </w:r>
        </w:p>
        <w:p>
          <w:pPr>
            <w:pStyle w:val="23"/>
            <w:tabs>
              <w:tab w:val="right" w:leader="dot" w:pos="8296"/>
            </w:tabs>
            <w:rPr>
              <w:rFonts w:ascii="Calibri" w:eastAsia="宋体" w:cs="Arial" w:hAnsi="Calibri"/>
              <w:sz w:val="21"/>
              <w:szCs w:val="22"/>
            </w:rPr>
          </w:pPr>
          <w:r>
            <w:fldChar w:fldCharType="begin"/>
          </w:r>
          <w:r>
            <w:instrText>Hyperlink \l "_Toc176800656"</w:instrText>
          </w:r>
          <w:r>
            <w:fldChar w:fldCharType="separate"/>
          </w:r>
          <w:r>
            <w:rPr>
              <w:rFonts w:eastAsia="黑体" w:hint="eastAsia"/>
            </w:rPr>
            <w:t>第一部分</w:t>
          </w:r>
          <w:r>
            <w:rPr>
              <w:rFonts w:eastAsia="黑体"/>
            </w:rPr>
            <w:t xml:space="preserve">  </w:t>
          </w:r>
          <w:r>
            <w:rPr>
              <w:rFonts w:eastAsia="黑体" w:hint="eastAsia"/>
            </w:rPr>
            <w:t>部门概况</w:t>
          </w:r>
          <w:r>
            <w:tab/>
          </w:r>
          <w:r>
            <w:fldChar w:fldCharType="begin"/>
          </w:r>
          <w:r>
            <w:instrText xml:space="preserve"> PAGEREF _Toc176800656 \h </w:instrText>
          </w:r>
          <w:r>
            <w:fldChar w:fldCharType="separate"/>
          </w:r>
          <w:r>
            <w:t>3</w:t>
          </w:r>
          <w:r>
            <w:fldChar w:fldCharType="end"/>
          </w:r>
          <w:r>
            <w:fldChar w:fldCharType="end"/>
          </w:r>
        </w:p>
        <w:p>
          <w:pPr>
            <w:pStyle w:val="24"/>
            <w:tabs>
              <w:tab w:val="right" w:leader="dot" w:pos="8296"/>
            </w:tabs>
            <w:rPr>
              <w:rFonts w:ascii="Calibri" w:eastAsia="宋体" w:cs="Arial" w:hAnsi="Calibri"/>
              <w:szCs w:val="22"/>
            </w:rPr>
          </w:pPr>
          <w:r>
            <w:fldChar w:fldCharType="begin"/>
          </w:r>
          <w:r>
            <w:instrText>Hyperlink \l "_Toc176800657"</w:instrText>
          </w:r>
          <w:r>
            <w:fldChar w:fldCharType="separate"/>
          </w:r>
          <w:r>
            <w:rPr>
              <w:rFonts w:eastAsia="方正黑体_GBK" w:hint="eastAsia"/>
            </w:rPr>
            <w:t>一、部门职责</w:t>
          </w:r>
          <w:r>
            <w:tab/>
          </w:r>
          <w:r>
            <w:fldChar w:fldCharType="begin"/>
          </w:r>
          <w:r>
            <w:instrText xml:space="preserve"> PAGEREF _Toc176800657 \h </w:instrText>
          </w:r>
          <w:r>
            <w:fldChar w:fldCharType="separate"/>
          </w:r>
          <w:r>
            <w:t>3</w:t>
          </w:r>
          <w:r>
            <w:fldChar w:fldCharType="end"/>
          </w:r>
          <w:r>
            <w:fldChar w:fldCharType="end"/>
          </w:r>
        </w:p>
        <w:p>
          <w:pPr>
            <w:pStyle w:val="23"/>
            <w:tabs>
              <w:tab w:val="right" w:leader="dot" w:pos="8296"/>
            </w:tabs>
            <w:rPr>
              <w:rFonts w:ascii="Calibri" w:eastAsia="宋体" w:cs="Arial" w:hAnsi="Calibri"/>
              <w:sz w:val="21"/>
              <w:szCs w:val="22"/>
            </w:rPr>
          </w:pPr>
          <w:r>
            <w:fldChar w:fldCharType="begin"/>
          </w:r>
          <w:r>
            <w:instrText>Hyperlink \l "_Toc176800658"</w:instrText>
          </w:r>
          <w:r>
            <w:fldChar w:fldCharType="separate"/>
          </w:r>
          <w:r>
            <w:rPr>
              <w:rFonts w:ascii="黑体" w:eastAsia="黑体" w:hint="eastAsia"/>
            </w:rPr>
            <w:t>第二部分</w:t>
          </w:r>
          <w:r>
            <w:rPr>
              <w:rFonts w:ascii="黑体" w:eastAsia="黑体"/>
            </w:rPr>
            <w:t xml:space="preserve"> 2023</w:t>
          </w:r>
          <w:r>
            <w:rPr>
              <w:rFonts w:ascii="黑体" w:eastAsia="黑体" w:hint="eastAsia"/>
            </w:rPr>
            <w:t>年度部门决算情况说明</w:t>
          </w:r>
          <w:r>
            <w:tab/>
          </w:r>
          <w:r>
            <w:fldChar w:fldCharType="begin"/>
          </w:r>
          <w:r>
            <w:instrText xml:space="preserve"> PAGEREF _Toc176800658 \h </w:instrText>
          </w:r>
          <w:r>
            <w:fldChar w:fldCharType="separate"/>
          </w:r>
          <w:r>
            <w:t>5</w:t>
          </w:r>
          <w:r>
            <w:fldChar w:fldCharType="end"/>
          </w:r>
          <w:r>
            <w:fldChar w:fldCharType="end"/>
          </w:r>
        </w:p>
        <w:p>
          <w:pPr>
            <w:pStyle w:val="24"/>
            <w:tabs>
              <w:tab w:val="left" w:pos="1260"/>
              <w:tab w:val="right" w:leader="dot" w:pos="8296"/>
            </w:tabs>
            <w:rPr>
              <w:rFonts w:ascii="Calibri" w:eastAsia="宋体" w:cs="Arial" w:hAnsi="Calibri"/>
              <w:szCs w:val="22"/>
            </w:rPr>
          </w:pPr>
          <w:r>
            <w:fldChar w:fldCharType="begin"/>
          </w:r>
          <w:r>
            <w:instrText>Hyperlink \l "_Toc176800659"</w:instrText>
          </w:r>
          <w:r>
            <w:fldChar w:fldCharType="separate"/>
          </w:r>
          <w:r>
            <w:rPr>
              <w:rFonts w:ascii="方正黑体_GBK" w:eastAsia="方正黑体_GBK" w:cs="Times New Roman" w:hint="eastAsia"/>
              <w:bCs/>
            </w:rPr>
            <w:t>一、</w:t>
          </w:r>
          <w:r>
            <w:rPr>
              <w:rFonts w:ascii="方正黑体_GBK" w:eastAsia="方正黑体_GBK" w:hint="eastAsia"/>
            </w:rPr>
            <w:t>收</w:t>
          </w:r>
          <w:r>
            <w:rPr>
              <w:rFonts w:ascii="方正黑体_GBK" w:eastAsia="方正黑体_GBK" w:cs="Times New Roman" w:hint="eastAsia"/>
              <w:bCs/>
            </w:rPr>
            <w:t>入支出决算总体情况说明</w:t>
          </w:r>
          <w:r>
            <w:tab/>
          </w:r>
          <w:r>
            <w:fldChar w:fldCharType="begin"/>
          </w:r>
          <w:r>
            <w:instrText xml:space="preserve"> PAGEREF _Toc176800659 \h </w:instrText>
          </w:r>
          <w:r>
            <w:fldChar w:fldCharType="separate"/>
          </w:r>
          <w:r>
            <w:t>5</w:t>
          </w:r>
          <w:r>
            <w:fldChar w:fldCharType="end"/>
          </w:r>
          <w:r>
            <w:fldChar w:fldCharType="end"/>
          </w:r>
        </w:p>
        <w:p>
          <w:pPr>
            <w:pStyle w:val="24"/>
            <w:tabs>
              <w:tab w:val="left" w:pos="1260"/>
              <w:tab w:val="right" w:leader="dot" w:pos="8296"/>
            </w:tabs>
            <w:rPr>
              <w:rFonts w:ascii="Calibri" w:eastAsia="宋体" w:cs="Arial" w:hAnsi="Calibri"/>
              <w:szCs w:val="22"/>
            </w:rPr>
          </w:pPr>
          <w:r>
            <w:fldChar w:fldCharType="begin"/>
          </w:r>
          <w:r>
            <w:instrText>Hyperlink \l "_Toc176800660"</w:instrText>
          </w:r>
          <w:r>
            <w:fldChar w:fldCharType="separate"/>
          </w:r>
          <w:r>
            <w:rPr>
              <w:rFonts w:ascii="方正黑体_GBK" w:eastAsia="方正黑体_GBK" w:hint="eastAsia"/>
              <w:bCs/>
            </w:rPr>
            <w:t>二、</w:t>
          </w:r>
          <w:r>
            <w:rPr>
              <w:rFonts w:ascii="方正黑体_GBK" w:eastAsia="方正黑体_GBK" w:hint="eastAsia"/>
            </w:rPr>
            <w:t>收</w:t>
          </w:r>
          <w:r>
            <w:rPr>
              <w:rFonts w:ascii="方正黑体_GBK" w:eastAsia="方正黑体_GBK" w:hint="eastAsia"/>
              <w:bCs/>
            </w:rPr>
            <w:t>入决算情况说明</w:t>
          </w:r>
          <w:r>
            <w:tab/>
          </w:r>
          <w:r>
            <w:fldChar w:fldCharType="begin"/>
          </w:r>
          <w:r>
            <w:instrText xml:space="preserve"> PAGEREF _Toc176800660 \h </w:instrText>
          </w:r>
          <w:r>
            <w:fldChar w:fldCharType="separate"/>
          </w:r>
          <w:r>
            <w:t>5</w:t>
          </w:r>
          <w:r>
            <w:fldChar w:fldCharType="end"/>
          </w:r>
          <w:r>
            <w:fldChar w:fldCharType="end"/>
          </w:r>
        </w:p>
        <w:p>
          <w:pPr>
            <w:pStyle w:val="24"/>
            <w:tabs>
              <w:tab w:val="left" w:pos="1260"/>
              <w:tab w:val="right" w:leader="dot" w:pos="8296"/>
            </w:tabs>
            <w:rPr>
              <w:rFonts w:ascii="Calibri" w:eastAsia="宋体" w:cs="Arial" w:hAnsi="Calibri"/>
              <w:szCs w:val="22"/>
            </w:rPr>
          </w:pPr>
          <w:r>
            <w:fldChar w:fldCharType="begin"/>
          </w:r>
          <w:r>
            <w:instrText>Hyperlink \l "_Toc176800661"</w:instrText>
          </w:r>
          <w:r>
            <w:fldChar w:fldCharType="separate"/>
          </w:r>
          <w:r>
            <w:rPr>
              <w:rFonts w:ascii="方正黑体_GBK" w:eastAsia="方正黑体_GBK" w:hint="eastAsia"/>
              <w:bCs/>
            </w:rPr>
            <w:t>三、</w:t>
          </w:r>
          <w:r>
            <w:rPr>
              <w:rFonts w:ascii="方正黑体_GBK" w:eastAsia="方正黑体_GBK" w:hint="eastAsia"/>
            </w:rPr>
            <w:t>支</w:t>
          </w:r>
          <w:r>
            <w:rPr>
              <w:rFonts w:ascii="方正黑体_GBK" w:eastAsia="方正黑体_GBK" w:hint="eastAsia"/>
              <w:bCs/>
            </w:rPr>
            <w:t>出决算情况说明</w:t>
          </w:r>
          <w:r>
            <w:tab/>
          </w:r>
          <w:r>
            <w:fldChar w:fldCharType="begin"/>
          </w:r>
          <w:r>
            <w:instrText xml:space="preserve"> PAGEREF _Toc176800661 \h </w:instrText>
          </w:r>
          <w:r>
            <w:fldChar w:fldCharType="separate"/>
          </w:r>
          <w:r>
            <w:t>6</w:t>
          </w:r>
          <w:r>
            <w:fldChar w:fldCharType="end"/>
          </w:r>
          <w:r>
            <w:fldChar w:fldCharType="end"/>
          </w:r>
        </w:p>
        <w:p>
          <w:pPr>
            <w:pStyle w:val="24"/>
            <w:tabs>
              <w:tab w:val="right" w:leader="dot" w:pos="8296"/>
            </w:tabs>
            <w:rPr>
              <w:rFonts w:ascii="Calibri" w:eastAsia="宋体" w:cs="Arial" w:hAnsi="Calibri"/>
              <w:szCs w:val="22"/>
            </w:rPr>
          </w:pPr>
          <w:r>
            <w:fldChar w:fldCharType="begin"/>
          </w:r>
          <w:r>
            <w:instrText>Hyperlink \l "_Toc176800663"</w:instrText>
          </w:r>
          <w:r>
            <w:fldChar w:fldCharType="separate"/>
          </w:r>
          <w:r>
            <w:rPr>
              <w:rFonts w:ascii="方正黑体_GBK" w:eastAsia="方正黑体_GBK" w:hint="eastAsia"/>
            </w:rPr>
            <w:t>四、财</w:t>
          </w:r>
          <w:r>
            <w:rPr>
              <w:rFonts w:ascii="方正黑体_GBK" w:eastAsia="方正黑体_GBK" w:hint="eastAsia"/>
              <w:bCs/>
            </w:rPr>
            <w:t>政拨款收入支出决算总体情况说明</w:t>
          </w:r>
          <w:r>
            <w:tab/>
          </w:r>
          <w:r>
            <w:fldChar w:fldCharType="begin"/>
          </w:r>
          <w:r>
            <w:instrText xml:space="preserve"> PAGEREF _Toc176800663 \h </w:instrText>
          </w:r>
          <w:r>
            <w:fldChar w:fldCharType="separate"/>
          </w:r>
          <w:r>
            <w:t>6</w:t>
          </w:r>
          <w:r>
            <w:fldChar w:fldCharType="end"/>
          </w:r>
          <w:r>
            <w:fldChar w:fldCharType="end"/>
          </w:r>
        </w:p>
        <w:p>
          <w:pPr>
            <w:pStyle w:val="24"/>
            <w:tabs>
              <w:tab w:val="right" w:leader="dot" w:pos="8296"/>
            </w:tabs>
            <w:rPr>
              <w:rFonts w:ascii="Calibri" w:eastAsia="宋体" w:cs="Arial" w:hAnsi="Calibri"/>
              <w:szCs w:val="22"/>
            </w:rPr>
          </w:pPr>
          <w:r>
            <w:fldChar w:fldCharType="begin"/>
          </w:r>
          <w:r>
            <w:instrText>Hyperlink \l "_Toc176800665"</w:instrText>
          </w:r>
          <w:r>
            <w:fldChar w:fldCharType="separate"/>
          </w:r>
          <w:r>
            <w:rPr>
              <w:rFonts w:ascii="方正黑体_GBK" w:eastAsia="方正黑体_GBK" w:hint="eastAsia"/>
            </w:rPr>
            <w:t>五、一</w:t>
          </w:r>
          <w:r>
            <w:rPr>
              <w:rFonts w:ascii="方正黑体_GBK" w:eastAsia="方正黑体_GBK" w:hint="eastAsia"/>
              <w:bCs/>
            </w:rPr>
            <w:t>般公共预算财政拨款支出决算情况说明</w:t>
          </w:r>
          <w:r>
            <w:tab/>
          </w:r>
          <w:r>
            <w:fldChar w:fldCharType="begin"/>
          </w:r>
          <w:r>
            <w:instrText xml:space="preserve"> PAGEREF _Toc176800665 \h </w:instrText>
          </w:r>
          <w:r>
            <w:fldChar w:fldCharType="separate"/>
          </w:r>
          <w:r>
            <w:t>7</w:t>
          </w:r>
          <w:r>
            <w:fldChar w:fldCharType="end"/>
          </w:r>
          <w:r>
            <w:fldChar w:fldCharType="end"/>
          </w:r>
        </w:p>
        <w:p>
          <w:pPr>
            <w:pStyle w:val="18"/>
            <w:tabs>
              <w:tab w:val="right" w:leader="dot" w:pos="8296"/>
            </w:tabs>
            <w:rPr>
              <w:rFonts w:ascii="Calibri" w:eastAsia="宋体" w:cs="Arial" w:hAnsi="Calibri"/>
              <w:szCs w:val="22"/>
            </w:rPr>
          </w:pPr>
          <w:r>
            <w:fldChar w:fldCharType="begin"/>
          </w:r>
          <w:r>
            <w:instrText>Hyperlink \l "_Toc176800666"</w:instrText>
          </w:r>
          <w:r>
            <w:fldChar w:fldCharType="separate"/>
          </w:r>
          <w:r>
            <w:rPr>
              <w:rFonts w:ascii="仿宋" w:eastAsia="仿宋" w:hint="eastAsia"/>
              <w:b/>
            </w:rPr>
            <w:t>（一）一般公共预算财政拨款支出决算总体情况</w:t>
          </w:r>
          <w:r>
            <w:tab/>
          </w:r>
          <w:r>
            <w:fldChar w:fldCharType="begin"/>
          </w:r>
          <w:r>
            <w:instrText xml:space="preserve"> PAGEREF _Toc176800666 \h </w:instrText>
          </w:r>
          <w:r>
            <w:fldChar w:fldCharType="separate"/>
          </w:r>
          <w:r>
            <w:t>7</w:t>
          </w:r>
          <w:r>
            <w:fldChar w:fldCharType="end"/>
          </w:r>
          <w:r>
            <w:fldChar w:fldCharType="end"/>
          </w:r>
        </w:p>
        <w:p>
          <w:pPr>
            <w:pStyle w:val="18"/>
            <w:tabs>
              <w:tab w:val="right" w:leader="dot" w:pos="8296"/>
            </w:tabs>
            <w:rPr>
              <w:rFonts w:ascii="Calibri" w:eastAsia="宋体" w:cs="Arial" w:hAnsi="Calibri"/>
              <w:szCs w:val="22"/>
            </w:rPr>
          </w:pPr>
          <w:r>
            <w:fldChar w:fldCharType="begin"/>
          </w:r>
          <w:r>
            <w:instrText>Hyperlink \l "_Toc176800668"</w:instrText>
          </w:r>
          <w:r>
            <w:fldChar w:fldCharType="separate"/>
          </w:r>
          <w:r>
            <w:rPr>
              <w:rFonts w:ascii="仿宋" w:eastAsia="仿宋" w:hint="eastAsia"/>
              <w:b/>
            </w:rPr>
            <w:t>（二）一般公共预算财政拨款支出决算结构情况</w:t>
          </w:r>
          <w:r>
            <w:tab/>
          </w:r>
          <w:r>
            <w:fldChar w:fldCharType="begin"/>
          </w:r>
          <w:r>
            <w:instrText xml:space="preserve"> PAGEREF _Toc176800668 \h </w:instrText>
          </w:r>
          <w:r>
            <w:fldChar w:fldCharType="separate"/>
          </w:r>
          <w:r>
            <w:t>8</w:t>
          </w:r>
          <w:r>
            <w:fldChar w:fldCharType="end"/>
          </w:r>
          <w:r>
            <w:fldChar w:fldCharType="end"/>
          </w:r>
        </w:p>
        <w:p>
          <w:pPr>
            <w:pStyle w:val="18"/>
            <w:tabs>
              <w:tab w:val="right" w:leader="dot" w:pos="8296"/>
            </w:tabs>
            <w:rPr>
              <w:rFonts w:ascii="Calibri" w:eastAsia="宋体" w:cs="Arial" w:hAnsi="Calibri"/>
              <w:szCs w:val="22"/>
            </w:rPr>
          </w:pPr>
          <w:r>
            <w:fldChar w:fldCharType="begin"/>
          </w:r>
          <w:r>
            <w:instrText>Hyperlink \l "_Toc176800669"</w:instrText>
          </w:r>
          <w:r>
            <w:fldChar w:fldCharType="separate"/>
          </w:r>
          <w:r>
            <w:rPr>
              <w:rFonts w:ascii="仿宋" w:eastAsia="仿宋" w:hint="eastAsia"/>
              <w:b/>
            </w:rPr>
            <w:t>（三）一般公共预算财政拨款支出决算具体情况</w:t>
          </w:r>
          <w:r>
            <w:tab/>
          </w:r>
          <w:r>
            <w:fldChar w:fldCharType="begin"/>
          </w:r>
          <w:r>
            <w:instrText xml:space="preserve"> PAGEREF _Toc176800669 \h </w:instrText>
          </w:r>
          <w:r>
            <w:fldChar w:fldCharType="separate"/>
          </w:r>
          <w:r>
            <w:t>9</w:t>
          </w:r>
          <w:r>
            <w:fldChar w:fldCharType="end"/>
          </w:r>
          <w:r>
            <w:fldChar w:fldCharType="end"/>
          </w:r>
        </w:p>
        <w:p>
          <w:pPr>
            <w:pStyle w:val="24"/>
            <w:tabs>
              <w:tab w:val="right" w:leader="dot" w:pos="8296"/>
            </w:tabs>
            <w:rPr>
              <w:rFonts w:ascii="Calibri" w:eastAsia="宋体" w:cs="Arial" w:hAnsi="Calibri"/>
              <w:szCs w:val="22"/>
            </w:rPr>
          </w:pPr>
          <w:r>
            <w:fldChar w:fldCharType="begin"/>
          </w:r>
          <w:r>
            <w:instrText>Hyperlink \l "_Toc176800673"</w:instrText>
          </w:r>
          <w:r>
            <w:fldChar w:fldCharType="separate"/>
          </w:r>
          <w:r>
            <w:rPr>
              <w:rFonts w:ascii="方正黑体_GBK" w:eastAsia="方正黑体_GBK" w:hint="eastAsia"/>
            </w:rPr>
            <w:t>六、一</w:t>
          </w:r>
          <w:r>
            <w:rPr>
              <w:rFonts w:ascii="方正黑体_GBK" w:eastAsia="方正黑体_GBK" w:hint="eastAsia"/>
              <w:bCs/>
            </w:rPr>
            <w:t>般公共预算财政拨款基本支出决算情况说明</w:t>
          </w:r>
          <w:r>
            <w:tab/>
          </w:r>
          <w:r>
            <w:fldChar w:fldCharType="begin"/>
          </w:r>
          <w:r>
            <w:instrText xml:space="preserve"> PAGEREF _Toc176800673 \h </w:instrText>
          </w:r>
          <w:r>
            <w:fldChar w:fldCharType="separate"/>
          </w:r>
          <w:r>
            <w:t>10</w:t>
          </w:r>
          <w:r>
            <w:fldChar w:fldCharType="end"/>
          </w:r>
          <w:r>
            <w:fldChar w:fldCharType="end"/>
          </w:r>
        </w:p>
        <w:p>
          <w:pPr>
            <w:pStyle w:val="24"/>
            <w:tabs>
              <w:tab w:val="right" w:leader="dot" w:pos="8296"/>
            </w:tabs>
            <w:rPr>
              <w:rFonts w:ascii="Calibri" w:eastAsia="宋体" w:cs="Arial" w:hAnsi="Calibri"/>
              <w:szCs w:val="22"/>
            </w:rPr>
          </w:pPr>
          <w:r>
            <w:fldChar w:fldCharType="begin"/>
          </w:r>
          <w:r>
            <w:instrText>Hyperlink \l "_Toc176800674"</w:instrText>
          </w:r>
          <w:r>
            <w:fldChar w:fldCharType="separate"/>
          </w:r>
          <w:r>
            <w:rPr>
              <w:rFonts w:ascii="方正黑体_GBK" w:eastAsia="方正黑体_GBK" w:hint="eastAsia"/>
            </w:rPr>
            <w:t>七、</w:t>
          </w:r>
          <w:r>
            <w:rPr>
              <w:rFonts w:ascii="方正黑体_GBK" w:eastAsia="方正黑体_GBK" w:hint="eastAsia"/>
              <w:bCs/>
            </w:rPr>
            <w:t>财政拨款</w:t>
          </w:r>
          <w:r>
            <w:rPr>
              <w:rFonts w:ascii="方正黑体_GBK" w:eastAsia="方正黑体_GBK"/>
              <w:b/>
              <w:bCs/>
            </w:rPr>
            <w:t>“</w:t>
          </w:r>
          <w:r>
            <w:rPr>
              <w:rFonts w:ascii="方正黑体_GBK" w:eastAsia="方正黑体_GBK" w:hint="eastAsia"/>
              <w:bCs/>
            </w:rPr>
            <w:t>三公”经费支出决算情况说明</w:t>
          </w:r>
          <w:r>
            <w:tab/>
          </w:r>
          <w:r>
            <w:fldChar w:fldCharType="begin"/>
          </w:r>
          <w:r>
            <w:instrText xml:space="preserve"> PAGEREF _Toc176800674 \h </w:instrText>
          </w:r>
          <w:r>
            <w:fldChar w:fldCharType="separate"/>
          </w:r>
          <w:r>
            <w:t>11</w:t>
          </w:r>
          <w:r>
            <w:fldChar w:fldCharType="end"/>
          </w:r>
          <w:r>
            <w:fldChar w:fldCharType="end"/>
          </w:r>
        </w:p>
        <w:p>
          <w:pPr>
            <w:pStyle w:val="18"/>
            <w:tabs>
              <w:tab w:val="right" w:leader="dot" w:pos="8296"/>
            </w:tabs>
            <w:rPr>
              <w:rFonts w:ascii="Calibri" w:eastAsia="宋体" w:cs="Arial" w:hAnsi="Calibri"/>
              <w:szCs w:val="22"/>
            </w:rPr>
          </w:pPr>
          <w:r>
            <w:fldChar w:fldCharType="begin"/>
          </w:r>
          <w:r>
            <w:instrText>Hyperlink \l "_Toc176800675"</w:instrText>
          </w:r>
          <w:r>
            <w:fldChar w:fldCharType="separate"/>
          </w:r>
          <w:r>
            <w:rPr>
              <w:rFonts w:ascii="仿宋" w:eastAsia="仿宋" w:hint="eastAsia"/>
              <w:b/>
            </w:rPr>
            <w:t>（一）“三公”经费财政拨款支出决算总体情况说明</w:t>
          </w:r>
          <w:r>
            <w:tab/>
          </w:r>
          <w:r>
            <w:fldChar w:fldCharType="begin"/>
          </w:r>
          <w:r>
            <w:instrText xml:space="preserve"> PAGEREF _Toc176800675 \h </w:instrText>
          </w:r>
          <w:r>
            <w:fldChar w:fldCharType="separate"/>
          </w:r>
          <w:r>
            <w:t>11</w:t>
          </w:r>
          <w:r>
            <w:fldChar w:fldCharType="end"/>
          </w:r>
          <w:r>
            <w:fldChar w:fldCharType="end"/>
          </w:r>
        </w:p>
        <w:p>
          <w:pPr>
            <w:pStyle w:val="18"/>
            <w:tabs>
              <w:tab w:val="right" w:leader="dot" w:pos="8296"/>
            </w:tabs>
            <w:rPr>
              <w:rFonts w:ascii="Calibri" w:eastAsia="宋体" w:cs="Arial" w:hAnsi="Calibri"/>
              <w:szCs w:val="22"/>
            </w:rPr>
          </w:pPr>
          <w:r>
            <w:fldChar w:fldCharType="begin"/>
          </w:r>
          <w:r>
            <w:instrText>Hyperlink \l "_Toc176800676"</w:instrText>
          </w:r>
          <w:r>
            <w:fldChar w:fldCharType="separate"/>
          </w:r>
          <w:r>
            <w:rPr>
              <w:rFonts w:ascii="仿宋" w:eastAsia="仿宋" w:hint="eastAsia"/>
              <w:b/>
            </w:rPr>
            <w:t>（二）“三公”经费财政拨款支出决算具体情况说明</w:t>
          </w:r>
          <w:r>
            <w:tab/>
          </w:r>
          <w:r>
            <w:fldChar w:fldCharType="begin"/>
          </w:r>
          <w:r>
            <w:instrText xml:space="preserve"> PAGEREF _Toc176800676 \h </w:instrText>
          </w:r>
          <w:r>
            <w:fldChar w:fldCharType="separate"/>
          </w:r>
          <w:r>
            <w:t>11</w:t>
          </w:r>
          <w:r>
            <w:fldChar w:fldCharType="end"/>
          </w:r>
          <w:r>
            <w:fldChar w:fldCharType="end"/>
          </w:r>
        </w:p>
        <w:p>
          <w:pPr>
            <w:pStyle w:val="24"/>
            <w:tabs>
              <w:tab w:val="right" w:leader="dot" w:pos="8296"/>
            </w:tabs>
            <w:rPr>
              <w:rFonts w:ascii="Calibri" w:eastAsia="宋体" w:cs="Arial" w:hAnsi="Calibri"/>
              <w:szCs w:val="22"/>
            </w:rPr>
          </w:pPr>
          <w:r>
            <w:fldChar w:fldCharType="begin"/>
          </w:r>
          <w:r>
            <w:instrText>Hyperlink \l "_Toc176800677"</w:instrText>
          </w:r>
          <w:r>
            <w:fldChar w:fldCharType="separate"/>
          </w:r>
          <w:r>
            <w:rPr>
              <w:rFonts w:ascii="方正黑体_GBK" w:eastAsia="方正黑体_GBK" w:hint="eastAsia"/>
            </w:rPr>
            <w:t>八、</w:t>
          </w:r>
          <w:r>
            <w:rPr>
              <w:rFonts w:ascii="方正黑体_GBK" w:eastAsia="方正黑体_GBK" w:hint="eastAsia"/>
              <w:bCs/>
            </w:rPr>
            <w:t>政府性基金预算支出决算情况说明</w:t>
          </w:r>
          <w:r>
            <w:tab/>
          </w:r>
          <w:r>
            <w:fldChar w:fldCharType="begin"/>
          </w:r>
          <w:r>
            <w:instrText xml:space="preserve"> PAGEREF _Toc176800677 \h </w:instrText>
          </w:r>
          <w:r>
            <w:fldChar w:fldCharType="separate"/>
          </w:r>
          <w:r>
            <w:t>13</w:t>
          </w:r>
          <w:r>
            <w:fldChar w:fldCharType="end"/>
          </w:r>
          <w:r>
            <w:fldChar w:fldCharType="end"/>
          </w:r>
        </w:p>
        <w:p>
          <w:pPr>
            <w:pStyle w:val="24"/>
            <w:tabs>
              <w:tab w:val="right" w:leader="dot" w:pos="8296"/>
            </w:tabs>
            <w:rPr>
              <w:rFonts w:ascii="Calibri" w:eastAsia="宋体" w:cs="Arial" w:hAnsi="Calibri"/>
              <w:szCs w:val="22"/>
            </w:rPr>
          </w:pPr>
          <w:r>
            <w:fldChar w:fldCharType="begin"/>
          </w:r>
          <w:r>
            <w:instrText>Hyperlink \l "_Toc176800678"</w:instrText>
          </w:r>
          <w:r>
            <w:fldChar w:fldCharType="separate"/>
          </w:r>
          <w:r>
            <w:rPr>
              <w:rFonts w:ascii="方正黑体_GBK" w:eastAsia="方正黑体_GBK" w:cs="Times New Roman" w:hint="eastAsia"/>
              <w:bCs/>
            </w:rPr>
            <w:t>九、 国有资本经营预算支出决算情况说明</w:t>
          </w:r>
          <w:r>
            <w:tab/>
          </w:r>
          <w:r>
            <w:fldChar w:fldCharType="begin"/>
          </w:r>
          <w:r>
            <w:instrText xml:space="preserve"> PAGEREF _Toc176800678 \h </w:instrText>
          </w:r>
          <w:r>
            <w:fldChar w:fldCharType="separate"/>
          </w:r>
          <w:r>
            <w:t>14</w:t>
          </w:r>
          <w:r>
            <w:fldChar w:fldCharType="end"/>
          </w:r>
          <w:r>
            <w:fldChar w:fldCharType="end"/>
          </w:r>
        </w:p>
        <w:p>
          <w:pPr>
            <w:pStyle w:val="24"/>
            <w:tabs>
              <w:tab w:val="right" w:leader="dot" w:pos="8296"/>
            </w:tabs>
            <w:rPr>
              <w:rFonts w:ascii="Calibri" w:eastAsia="宋体" w:cs="Arial" w:hAnsi="Calibri"/>
              <w:szCs w:val="22"/>
            </w:rPr>
          </w:pPr>
          <w:r>
            <w:fldChar w:fldCharType="begin"/>
          </w:r>
          <w:r>
            <w:instrText>Hyperlink \l "_Toc176800679"</w:instrText>
          </w:r>
          <w:r>
            <w:fldChar w:fldCharType="separate"/>
          </w:r>
          <w:r>
            <w:rPr>
              <w:rFonts w:ascii="方正黑体_GBK" w:eastAsia="方正黑体_GBK" w:cs="Times New Roman" w:hint="eastAsia"/>
              <w:bCs/>
            </w:rPr>
            <w:t>十、 其他重要事项的情况说明</w:t>
          </w:r>
          <w:r>
            <w:tab/>
          </w:r>
          <w:r>
            <w:fldChar w:fldCharType="begin"/>
          </w:r>
          <w:r>
            <w:instrText xml:space="preserve"> PAGEREF _Toc176800679 \h </w:instrText>
          </w:r>
          <w:r>
            <w:fldChar w:fldCharType="separate"/>
          </w:r>
          <w:r>
            <w:t>14</w:t>
          </w:r>
          <w:r>
            <w:fldChar w:fldCharType="end"/>
          </w:r>
          <w:r>
            <w:fldChar w:fldCharType="end"/>
          </w:r>
        </w:p>
        <w:p>
          <w:pPr>
            <w:pStyle w:val="18"/>
            <w:tabs>
              <w:tab w:val="right" w:leader="dot" w:pos="8296"/>
            </w:tabs>
            <w:rPr>
              <w:rFonts w:ascii="Calibri" w:eastAsia="宋体" w:cs="Arial" w:hAnsi="Calibri"/>
              <w:szCs w:val="22"/>
            </w:rPr>
          </w:pPr>
          <w:r>
            <w:fldChar w:fldCharType="begin"/>
          </w:r>
          <w:r>
            <w:instrText>Hyperlink \l "_Toc176800680"</w:instrText>
          </w:r>
          <w:r>
            <w:fldChar w:fldCharType="separate"/>
          </w:r>
          <w:r>
            <w:rPr>
              <w:rFonts w:ascii="仿宋" w:eastAsia="仿宋" w:hint="eastAsia"/>
              <w:b/>
            </w:rPr>
            <w:t>（一）机关运行经费支出情况</w:t>
          </w:r>
          <w:r>
            <w:tab/>
          </w:r>
          <w:r>
            <w:fldChar w:fldCharType="begin"/>
          </w:r>
          <w:r>
            <w:instrText xml:space="preserve"> PAGEREF _Toc176800680 \h </w:instrText>
          </w:r>
          <w:r>
            <w:fldChar w:fldCharType="separate"/>
          </w:r>
          <w:r>
            <w:t>14</w:t>
          </w:r>
          <w:r>
            <w:fldChar w:fldCharType="end"/>
          </w:r>
          <w:r>
            <w:fldChar w:fldCharType="end"/>
          </w:r>
        </w:p>
        <w:p>
          <w:pPr>
            <w:pStyle w:val="18"/>
            <w:tabs>
              <w:tab w:val="right" w:leader="dot" w:pos="8296"/>
            </w:tabs>
            <w:rPr>
              <w:rFonts w:ascii="Calibri" w:eastAsia="宋体" w:cs="Arial" w:hAnsi="Calibri"/>
              <w:szCs w:val="22"/>
            </w:rPr>
          </w:pPr>
          <w:r>
            <w:fldChar w:fldCharType="begin"/>
          </w:r>
          <w:r>
            <w:instrText>Hyperlink \l "_Toc176800681"</w:instrText>
          </w:r>
          <w:r>
            <w:fldChar w:fldCharType="separate"/>
          </w:r>
          <w:r>
            <w:rPr>
              <w:rFonts w:ascii="仿宋" w:eastAsia="仿宋" w:hint="eastAsia"/>
              <w:b/>
            </w:rPr>
            <w:t>（二）政府采购支出情况</w:t>
          </w:r>
          <w:r>
            <w:tab/>
          </w:r>
          <w:r>
            <w:fldChar w:fldCharType="begin"/>
          </w:r>
          <w:r>
            <w:instrText xml:space="preserve"> PAGEREF _Toc176800681 \h </w:instrText>
          </w:r>
          <w:r>
            <w:fldChar w:fldCharType="separate"/>
          </w:r>
          <w:r>
            <w:t>14</w:t>
          </w:r>
          <w:r>
            <w:fldChar w:fldCharType="end"/>
          </w:r>
          <w:r>
            <w:fldChar w:fldCharType="end"/>
          </w:r>
        </w:p>
        <w:p>
          <w:pPr>
            <w:pStyle w:val="18"/>
            <w:tabs>
              <w:tab w:val="right" w:leader="dot" w:pos="8296"/>
            </w:tabs>
            <w:rPr>
              <w:rFonts w:ascii="Calibri" w:eastAsia="宋体" w:cs="Arial" w:hAnsi="Calibri"/>
              <w:szCs w:val="22"/>
            </w:rPr>
          </w:pPr>
          <w:r>
            <w:fldChar w:fldCharType="begin"/>
          </w:r>
          <w:r>
            <w:instrText>Hyperlink \l "_Toc176800682"</w:instrText>
          </w:r>
          <w:r>
            <w:fldChar w:fldCharType="separate"/>
          </w:r>
          <w:r>
            <w:rPr>
              <w:rFonts w:ascii="仿宋" w:eastAsia="仿宋" w:hint="eastAsia"/>
              <w:b/>
            </w:rPr>
            <w:t>（三）国有资产占有使用情况</w:t>
          </w:r>
          <w:r>
            <w:tab/>
          </w:r>
          <w:r>
            <w:fldChar w:fldCharType="begin"/>
          </w:r>
          <w:r>
            <w:instrText xml:space="preserve"> PAGEREF _Toc176800682 \h </w:instrText>
          </w:r>
          <w:r>
            <w:fldChar w:fldCharType="separate"/>
          </w:r>
          <w:r>
            <w:t>14</w:t>
          </w:r>
          <w:r>
            <w:fldChar w:fldCharType="end"/>
          </w:r>
          <w:r>
            <w:fldChar w:fldCharType="end"/>
          </w:r>
        </w:p>
        <w:p>
          <w:pPr>
            <w:pStyle w:val="18"/>
            <w:tabs>
              <w:tab w:val="right" w:leader="dot" w:pos="8296"/>
            </w:tabs>
            <w:rPr>
              <w:rFonts w:ascii="Calibri" w:eastAsia="宋体" w:cs="Arial" w:hAnsi="Calibri"/>
              <w:szCs w:val="22"/>
            </w:rPr>
          </w:pPr>
          <w:r>
            <w:fldChar w:fldCharType="begin"/>
          </w:r>
          <w:r>
            <w:instrText>Hyperlink \l "_Toc176800683"</w:instrText>
          </w:r>
          <w:r>
            <w:fldChar w:fldCharType="separate"/>
          </w:r>
          <w:r>
            <w:rPr>
              <w:rFonts w:ascii="仿宋" w:eastAsia="仿宋" w:hint="eastAsia"/>
              <w:b/>
            </w:rPr>
            <w:t>（四）预算绩效管理情况</w:t>
          </w:r>
          <w:r>
            <w:tab/>
          </w:r>
          <w:r>
            <w:fldChar w:fldCharType="begin"/>
          </w:r>
          <w:r>
            <w:instrText xml:space="preserve"> PAGEREF _Toc176800683 \h </w:instrText>
          </w:r>
          <w:r>
            <w:fldChar w:fldCharType="separate"/>
          </w:r>
          <w:r>
            <w:t>14</w:t>
          </w:r>
          <w:r>
            <w:fldChar w:fldCharType="end"/>
          </w:r>
          <w:r>
            <w:fldChar w:fldCharType="end"/>
          </w:r>
        </w:p>
        <w:p>
          <w:pPr>
            <w:pStyle w:val="23"/>
            <w:tabs>
              <w:tab w:val="right" w:leader="dot" w:pos="8296"/>
            </w:tabs>
            <w:rPr>
              <w:rFonts w:ascii="Calibri" w:eastAsia="宋体" w:cs="Arial" w:hAnsi="Calibri"/>
              <w:sz w:val="21"/>
              <w:szCs w:val="22"/>
            </w:rPr>
          </w:pPr>
          <w:r>
            <w:fldChar w:fldCharType="begin"/>
          </w:r>
          <w:r>
            <w:instrText>Hyperlink \l "_Toc176800684"</w:instrText>
          </w:r>
          <w:r>
            <w:fldChar w:fldCharType="separate"/>
          </w:r>
          <w:r>
            <w:rPr>
              <w:rFonts w:ascii="方正小标宋_GBK" w:eastAsia="方正小标宋_GBK" w:hint="eastAsia"/>
              <w:bCs/>
              <w:kern w:val="44"/>
            </w:rPr>
            <w:t>第三部分</w:t>
          </w:r>
          <w:r>
            <w:rPr>
              <w:rFonts w:ascii="方正小标宋_GBK" w:eastAsia="方正小标宋_GBK" w:hint="eastAsia"/>
            </w:rPr>
            <w:t xml:space="preserve"> 名</w:t>
          </w:r>
          <w:r>
            <w:rPr>
              <w:rFonts w:ascii="方正小标宋_GBK" w:eastAsia="方正小标宋_GBK" w:hint="eastAsia"/>
              <w:bCs/>
              <w:kern w:val="44"/>
            </w:rPr>
            <w:t>词解释</w:t>
          </w:r>
          <w:r>
            <w:tab/>
          </w:r>
          <w:r>
            <w:fldChar w:fldCharType="begin"/>
          </w:r>
          <w:r>
            <w:instrText xml:space="preserve"> PAGEREF _Toc176800684 \h </w:instrText>
          </w:r>
          <w:r>
            <w:fldChar w:fldCharType="separate"/>
          </w:r>
          <w:r>
            <w:t>16</w:t>
          </w:r>
          <w:r>
            <w:fldChar w:fldCharType="end"/>
          </w:r>
          <w:r>
            <w:fldChar w:fldCharType="end"/>
          </w:r>
        </w:p>
        <w:p>
          <w:pPr>
            <w:pStyle w:val="23"/>
            <w:tabs>
              <w:tab w:val="right" w:leader="dot" w:pos="8296"/>
            </w:tabs>
            <w:rPr>
              <w:rFonts w:ascii="Calibri" w:eastAsia="宋体" w:cs="Arial" w:hAnsi="Calibri"/>
              <w:sz w:val="21"/>
              <w:szCs w:val="22"/>
            </w:rPr>
          </w:pPr>
          <w:r>
            <w:fldChar w:fldCharType="begin"/>
          </w:r>
          <w:r>
            <w:instrText>Hyperlink \l "_Toc176800685"</w:instrText>
          </w:r>
          <w:r>
            <w:fldChar w:fldCharType="separate"/>
          </w:r>
          <w:r>
            <w:rPr>
              <w:rFonts w:ascii="方正小标宋_GBK" w:eastAsia="方正小标宋_GBK" w:hint="eastAsia"/>
            </w:rPr>
            <w:t>第四部分</w:t>
          </w:r>
          <w:r>
            <w:rPr>
              <w:rFonts w:ascii="方正小标宋_GBK" w:eastAsia="方正小标宋_GBK"/>
            </w:rPr>
            <w:t xml:space="preserve"> </w:t>
          </w:r>
          <w:r>
            <w:rPr>
              <w:rFonts w:ascii="方正小标宋_GBK" w:eastAsia="方正小标宋_GBK" w:hint="eastAsia"/>
            </w:rPr>
            <w:t>附件</w:t>
          </w:r>
          <w:r>
            <w:tab/>
          </w:r>
          <w:r>
            <w:fldChar w:fldCharType="begin"/>
          </w:r>
          <w:r>
            <w:instrText xml:space="preserve"> PAGEREF _Toc176800685 \h </w:instrText>
          </w:r>
          <w:r>
            <w:fldChar w:fldCharType="separate"/>
          </w:r>
          <w:r>
            <w:t>18</w:t>
          </w:r>
          <w:r>
            <w:fldChar w:fldCharType="end"/>
          </w:r>
          <w:r>
            <w:fldChar w:fldCharType="end"/>
          </w:r>
        </w:p>
        <w:p>
          <w:pPr>
            <w:pStyle w:val="23"/>
            <w:tabs>
              <w:tab w:val="right" w:leader="dot" w:pos="8296"/>
            </w:tabs>
            <w:rPr>
              <w:rFonts w:ascii="Calibri" w:eastAsia="宋体" w:cs="Arial" w:hAnsi="Calibri"/>
              <w:sz w:val="21"/>
              <w:szCs w:val="22"/>
            </w:rPr>
          </w:pPr>
          <w:r>
            <w:fldChar w:fldCharType="begin"/>
          </w:r>
          <w:r>
            <w:instrText>Hyperlink \l "_Toc176800686"</w:instrText>
          </w:r>
          <w:r>
            <w:fldChar w:fldCharType="separate"/>
          </w:r>
          <w:r>
            <w:rPr>
              <w:rFonts w:ascii="黑体" w:eastAsia="黑体" w:hint="eastAsia"/>
            </w:rPr>
            <w:t>第五部分</w:t>
          </w:r>
          <w:r>
            <w:rPr>
              <w:rFonts w:ascii="黑体" w:eastAsia="黑体"/>
            </w:rPr>
            <w:t xml:space="preserve"> </w:t>
          </w:r>
          <w:r>
            <w:rPr>
              <w:rFonts w:ascii="黑体" w:eastAsia="黑体" w:hint="eastAsia"/>
            </w:rPr>
            <w:t>附表</w:t>
          </w:r>
          <w:r>
            <w:tab/>
          </w:r>
          <w:r>
            <w:fldChar w:fldCharType="begin"/>
          </w:r>
          <w:r>
            <w:instrText xml:space="preserve"> PAGEREF _Toc176800686 \h </w:instrText>
          </w:r>
          <w:r>
            <w:fldChar w:fldCharType="separate"/>
          </w:r>
          <w:r>
            <w:t>38</w:t>
          </w:r>
          <w:r>
            <w:fldChar w:fldCharType="end"/>
          </w:r>
          <w:r>
            <w:fldChar w:fldCharType="end"/>
          </w:r>
        </w:p>
        <w:p>
          <w:r>
            <w:fldChar w:fldCharType="end"/>
          </w:r>
        </w:p>
      </w:sdtContent>
    </w:sdt>
    <w:p>
      <w:pPr>
        <w:adjustRightInd w:val="0"/>
        <w:snapToGrid w:val="0"/>
        <w:spacing w:line="360" w:lineRule="auto"/>
        <w:jc w:val="center"/>
        <w:outlineLvl w:val="0"/>
        <w:rPr>
          <w:rFonts w:ascii="方正小标宋_GBK" w:eastAsia="方正小标宋_GBK" w:cs="方正小标宋简体"/>
          <w:sz w:val="38"/>
          <w:szCs w:val="38"/>
        </w:rPr>
      </w:pPr>
      <w:bookmarkStart w:id="15" w:name="_Toc145422339"/>
      <w:bookmarkStart w:id="16" w:name="_Toc19376866"/>
      <w:bookmarkStart w:id="17" w:name="_Toc176800656"/>
      <w:bookmarkStart w:id="18" w:name="_Toc19378014"/>
      <w:bookmarkStart w:id="19" w:name="_Toc19377793"/>
      <w:bookmarkStart w:id="20" w:name="_Toc19377881"/>
      <w:r>
        <w:rPr>
          <w:rFonts w:ascii="方正小标宋_GBK" w:eastAsia="方正小标宋_GBK" w:cs="方正小标宋简体" w:hint="eastAsia"/>
          <w:sz w:val="38"/>
          <w:szCs w:val="38"/>
        </w:rPr>
        <w:t>第一部分  部门概况</w:t>
      </w:r>
      <w:bookmarkStart w:id="21" w:name="_Toc15377197"/>
      <w:bookmarkStart w:id="22" w:name="_Toc19377882"/>
      <w:bookmarkStart w:id="23" w:name="_Toc19376867"/>
      <w:bookmarkStart w:id="24" w:name="_Toc19378015"/>
      <w:bookmarkStart w:id="25" w:name="_Toc19377794"/>
      <w:bookmarkEnd w:id="15"/>
      <w:bookmarkEnd w:id="16"/>
      <w:bookmarkEnd w:id="17"/>
      <w:bookmarkEnd w:id="18"/>
      <w:bookmarkEnd w:id="19"/>
      <w:bookmarkEnd w:id="20"/>
    </w:p>
    <w:p>
      <w:pPr>
        <w:pStyle w:val="2"/>
        <w:ind w:firstLineChars="200" w:firstLine="660"/>
        <w:rPr>
          <w:rFonts w:ascii="Times New Roman" w:eastAsia="方正黑体_GBK" w:cs="Times New Roman" w:hAnsi="Times New Roman"/>
          <w:sz w:val="33"/>
        </w:rPr>
      </w:pPr>
      <w:bookmarkStart w:id="26" w:name="_Toc21697"/>
      <w:bookmarkStart w:id="27" w:name="_Toc145422340"/>
      <w:bookmarkStart w:id="28" w:name="_Toc176800657"/>
      <w:r>
        <w:rPr>
          <w:rFonts w:ascii="Times New Roman" w:eastAsia="方正黑体_GBK" w:cs="Times New Roman" w:hAnsi="Times New Roman"/>
          <w:b w:val="0"/>
          <w:color w:val="000000"/>
          <w:sz w:val="33"/>
        </w:rPr>
        <w:t>一、</w:t>
      </w:r>
      <w:bookmarkEnd w:id="21"/>
      <w:bookmarkEnd w:id="22"/>
      <w:bookmarkEnd w:id="23"/>
      <w:bookmarkEnd w:id="24"/>
      <w:bookmarkEnd w:id="25"/>
      <w:bookmarkEnd w:id="26"/>
      <w:r>
        <w:rPr>
          <w:rFonts w:ascii="Times New Roman" w:eastAsia="方正黑体_GBK" w:cs="Times New Roman" w:hAnsi="Times New Roman"/>
          <w:b w:val="0"/>
          <w:color w:val="000000"/>
          <w:sz w:val="33"/>
        </w:rPr>
        <w:t>部门职责</w:t>
      </w:r>
      <w:bookmarkEnd w:id="27"/>
      <w:bookmarkEnd w:id="28"/>
    </w:p>
    <w:p>
      <w:pPr>
        <w:ind w:firstLineChars="200" w:firstLine="660"/>
        <w:rPr>
          <w:rFonts w:eastAsia="方正仿宋_GBK"/>
          <w:sz w:val="33"/>
          <w:szCs w:val="33"/>
        </w:rPr>
      </w:pPr>
      <w:bookmarkStart w:id="29" w:name="_Toc15377199"/>
      <w:bookmarkStart w:id="30" w:name="_Toc15378446"/>
      <w:r>
        <w:rPr>
          <w:rFonts w:eastAsia="方正仿宋_GBK"/>
          <w:sz w:val="33"/>
          <w:szCs w:val="33"/>
        </w:rPr>
        <w:t>中国人民政治协商会议四川省攀枝花市委员会办公室是中国人民政治协商会议四川省攀枝花市委员会办公室的工作机构，承担为市政协履行政治协商、民主监督、参政议政职能服务的各项工作。</w:t>
      </w:r>
    </w:p>
    <w:p>
      <w:pPr>
        <w:ind w:firstLineChars="200" w:firstLine="660"/>
        <w:rPr>
          <w:rFonts w:eastAsia="方正仿宋_GBK"/>
          <w:sz w:val="33"/>
          <w:szCs w:val="33"/>
        </w:rPr>
      </w:pPr>
      <w:r>
        <w:rPr>
          <w:rFonts w:eastAsia="方正仿宋_GBK"/>
          <w:sz w:val="33"/>
          <w:szCs w:val="33"/>
        </w:rPr>
        <w:t>1.负责政协攀枝花市委员会全体会议、常委会会议、主席会议、秘书长会议和其他重要会议的会务工作。</w:t>
      </w:r>
    </w:p>
    <w:p>
      <w:pPr>
        <w:ind w:firstLineChars="200" w:firstLine="660"/>
        <w:rPr>
          <w:rFonts w:eastAsia="方正仿宋_GBK"/>
          <w:sz w:val="33"/>
          <w:szCs w:val="33"/>
        </w:rPr>
      </w:pPr>
      <w:r>
        <w:rPr>
          <w:rFonts w:eastAsia="方正仿宋_GBK"/>
          <w:sz w:val="33"/>
          <w:szCs w:val="33"/>
        </w:rPr>
        <w:t>2.组织实施市委、市政府、市政协年度协商计划。</w:t>
      </w:r>
    </w:p>
    <w:p>
      <w:pPr>
        <w:ind w:firstLineChars="200" w:firstLine="660"/>
        <w:rPr>
          <w:rFonts w:eastAsia="方正仿宋_GBK"/>
          <w:sz w:val="33"/>
          <w:szCs w:val="33"/>
        </w:rPr>
      </w:pPr>
      <w:r>
        <w:rPr>
          <w:rFonts w:eastAsia="方正仿宋_GBK"/>
          <w:sz w:val="33"/>
          <w:szCs w:val="33"/>
        </w:rPr>
        <w:t>3.负责市政协组织的调研、视察、考察和其他各种活动的协调与服务工作。</w:t>
      </w:r>
    </w:p>
    <w:p>
      <w:pPr>
        <w:ind w:firstLineChars="200" w:firstLine="660"/>
        <w:rPr>
          <w:rFonts w:eastAsia="方正仿宋_GBK"/>
          <w:sz w:val="33"/>
          <w:szCs w:val="33"/>
        </w:rPr>
      </w:pPr>
      <w:r>
        <w:rPr>
          <w:rFonts w:eastAsia="方正仿宋_GBK"/>
          <w:sz w:val="33"/>
          <w:szCs w:val="33"/>
        </w:rPr>
        <w:t>4.负责政协工作的对内对外宣传，收集反映各族各界人士的意见和建议。</w:t>
      </w:r>
    </w:p>
    <w:p>
      <w:pPr>
        <w:ind w:firstLineChars="200" w:firstLine="660"/>
        <w:rPr>
          <w:rFonts w:eastAsia="方正仿宋_GBK"/>
          <w:sz w:val="33"/>
          <w:szCs w:val="33"/>
        </w:rPr>
      </w:pPr>
      <w:r>
        <w:rPr>
          <w:rFonts w:eastAsia="方正仿宋_GBK"/>
          <w:sz w:val="33"/>
          <w:szCs w:val="33"/>
        </w:rPr>
        <w:t>5.密切联系市委办公室、市人大常委会办公室、市政府办公室、市级各部门和县（区）政协以及大企业统战部（科），相互配合，协同工作。</w:t>
      </w:r>
    </w:p>
    <w:p>
      <w:pPr>
        <w:ind w:firstLineChars="200" w:firstLine="660"/>
        <w:rPr>
          <w:rFonts w:eastAsia="方正仿宋_GBK"/>
          <w:sz w:val="33"/>
          <w:szCs w:val="33"/>
        </w:rPr>
      </w:pPr>
      <w:r>
        <w:rPr>
          <w:rFonts w:eastAsia="方正仿宋_GBK"/>
          <w:sz w:val="33"/>
          <w:szCs w:val="33"/>
        </w:rPr>
        <w:t>6.密切联系市政协委员，为他们履职尽责搞好服务。</w:t>
      </w:r>
    </w:p>
    <w:p>
      <w:pPr>
        <w:ind w:firstLineChars="200" w:firstLine="660"/>
        <w:rPr>
          <w:rFonts w:eastAsia="方正仿宋_GBK"/>
          <w:sz w:val="33"/>
          <w:szCs w:val="33"/>
        </w:rPr>
      </w:pPr>
      <w:r>
        <w:rPr>
          <w:rFonts w:eastAsia="方正仿宋_GBK"/>
          <w:sz w:val="33"/>
          <w:szCs w:val="33"/>
        </w:rPr>
        <w:t>7.负责市政协机关各种接待和联络工作。　</w:t>
      </w:r>
    </w:p>
    <w:p>
      <w:pPr>
        <w:ind w:firstLineChars="200" w:firstLine="660"/>
        <w:rPr>
          <w:rFonts w:eastAsia="方正仿宋_GBK"/>
          <w:sz w:val="33"/>
          <w:szCs w:val="33"/>
        </w:rPr>
      </w:pPr>
      <w:r>
        <w:rPr>
          <w:rFonts w:eastAsia="方正仿宋_GBK"/>
          <w:sz w:val="33"/>
          <w:szCs w:val="33"/>
        </w:rPr>
        <w:t>8.负责市政协机关的各项管理工作以及履行职能的后勤保障和经费管理等工作。</w:t>
      </w:r>
    </w:p>
    <w:p>
      <w:pPr>
        <w:ind w:firstLineChars="200" w:firstLine="660"/>
        <w:rPr>
          <w:rFonts w:eastAsia="方正仿宋_GBK"/>
          <w:sz w:val="33"/>
          <w:szCs w:val="33"/>
        </w:rPr>
      </w:pPr>
      <w:r>
        <w:rPr>
          <w:rFonts w:eastAsia="方正仿宋_GBK"/>
          <w:sz w:val="33"/>
          <w:szCs w:val="33"/>
        </w:rPr>
        <w:t>9.负责权限范围内的人事任免和市政协机关自身建设  工作。</w:t>
      </w:r>
    </w:p>
    <w:p>
      <w:pPr>
        <w:ind w:firstLineChars="200" w:firstLine="660"/>
        <w:rPr>
          <w:rFonts w:eastAsia="方正仿宋_GBK"/>
          <w:sz w:val="33"/>
          <w:szCs w:val="33"/>
        </w:rPr>
      </w:pPr>
      <w:r>
        <w:rPr>
          <w:rFonts w:eastAsia="方正仿宋_GBK"/>
          <w:sz w:val="33"/>
          <w:szCs w:val="33"/>
        </w:rPr>
        <w:t>10.承担市政协领导交办的其他事项。</w:t>
      </w:r>
      <w:bookmarkStart w:id="31" w:name="_Toc19378016"/>
      <w:bookmarkStart w:id="32" w:name="_Toc19376868"/>
      <w:bookmarkStart w:id="33" w:name="_Toc31351"/>
      <w:bookmarkStart w:id="34" w:name="_Toc19377795"/>
      <w:bookmarkStart w:id="35" w:name="_Toc19377883"/>
      <w:bookmarkEnd w:id="29"/>
      <w:bookmarkEnd w:id="30"/>
    </w:p>
    <w:p>
      <w:pPr>
        <w:pStyle w:val="2"/>
        <w:ind w:firstLineChars="200" w:firstLine="660"/>
        <w:rPr>
          <w:rFonts w:ascii="Times New Roman" w:eastAsia="方正黑体_GBK" w:cs="Times New Roman" w:hAnsi="Times New Roman"/>
          <w:b w:val="0"/>
          <w:color w:val="000000"/>
          <w:sz w:val="33"/>
        </w:rPr>
      </w:pPr>
      <w:r>
        <w:rPr>
          <w:rFonts w:ascii="Times New Roman" w:eastAsia="方正黑体_GBK" w:cs="Times New Roman" w:hAnsi="Times New Roman"/>
          <w:b w:val="0"/>
          <w:color w:val="000000"/>
          <w:sz w:val="33"/>
        </w:rPr>
        <w:t>二、机构设置</w:t>
      </w:r>
      <w:bookmarkEnd w:id="31"/>
      <w:bookmarkEnd w:id="32"/>
      <w:bookmarkEnd w:id="33"/>
      <w:bookmarkEnd w:id="34"/>
      <w:bookmarkEnd w:id="35"/>
    </w:p>
    <w:p>
      <w:pPr>
        <w:ind w:firstLineChars="200" w:firstLine="660"/>
        <w:rPr>
          <w:rFonts w:eastAsia="方正仿宋_GBK"/>
          <w:sz w:val="33"/>
          <w:szCs w:val="33"/>
        </w:rPr>
      </w:pPr>
      <w:r>
        <w:rPr>
          <w:rFonts w:eastAsia="方正仿宋_GBK"/>
          <w:sz w:val="33"/>
          <w:szCs w:val="33"/>
        </w:rPr>
        <w:t>2022年末，中国人民政治协商会议四川省攀枝花市委员会办公室独立编制机构数和独立核算机构数1个，下属事业单位1个（市政协委员联络服务中心）。</w:t>
      </w:r>
    </w:p>
    <w:p>
      <w:pPr>
        <w:rPr>
          <w:rFonts w:eastAsia="方正仿宋_GBK"/>
          <w:sz w:val="33"/>
          <w:szCs w:val="33"/>
        </w:rPr>
      </w:pPr>
      <w:r>
        <w:rPr>
          <w:rFonts w:eastAsia="方正仿宋_GBK"/>
          <w:sz w:val="33"/>
          <w:szCs w:val="33"/>
        </w:rPr>
        <w:t xml:space="preserve">    中国人民政治协商会议四川省攀枝花市委员会办公室下属二级预算单位0个，其中行政单位0个，参照公务员法管理的事业单位0个，其他事业单位0个。</w:t>
      </w:r>
    </w:p>
    <w:p>
      <w:pPr>
        <w:pStyle w:val="15"/>
        <w:rPr>
          <w:rFonts w:ascii="Times New Roman" w:hAnsi="Times New Roman"/>
        </w:rPr>
      </w:pPr>
    </w:p>
    <w:p/>
    <w:p>
      <w:pPr>
        <w:pStyle w:val="15"/>
      </w:pPr>
    </w:p>
    <w:p/>
    <w:p>
      <w:pPr>
        <w:pStyle w:val="15"/>
      </w:pPr>
    </w:p>
    <w:p/>
    <w:p>
      <w:pPr>
        <w:pStyle w:val="15"/>
      </w:pPr>
    </w:p>
    <w:p/>
    <w:p>
      <w:pPr>
        <w:pStyle w:val="15"/>
      </w:pPr>
    </w:p>
    <w:p/>
    <w:p>
      <w:pPr>
        <w:pStyle w:val="15"/>
      </w:pPr>
    </w:p>
    <w:p/>
    <w:p>
      <w:pPr>
        <w:adjustRightInd w:val="0"/>
        <w:snapToGrid w:val="0"/>
        <w:spacing w:line="360" w:lineRule="auto"/>
        <w:jc w:val="center"/>
        <w:outlineLvl w:val="0"/>
        <w:rPr>
          <w:rFonts w:ascii="方正小标宋_GBK" w:eastAsia="方正小标宋_GBK" w:cs="方正小标宋简体"/>
          <w:sz w:val="38"/>
          <w:szCs w:val="38"/>
        </w:rPr>
      </w:pPr>
      <w:bookmarkStart w:id="36" w:name="_Toc15377204"/>
      <w:bookmarkStart w:id="37" w:name="_Toc176800658"/>
      <w:bookmarkStart w:id="38" w:name="_Toc15396602"/>
      <w:r>
        <w:rPr>
          <w:rFonts w:ascii="方正小标宋_GBK" w:eastAsia="方正小标宋_GBK" w:cs="方正小标宋简体" w:hint="eastAsia"/>
          <w:sz w:val="38"/>
          <w:szCs w:val="38"/>
        </w:rPr>
        <w:t>第二部分 2023年度部门决算情况说明</w:t>
      </w:r>
      <w:bookmarkEnd w:id="36"/>
      <w:bookmarkEnd w:id="37"/>
      <w:bookmarkEnd w:id="38"/>
    </w:p>
    <w:p>
      <w:pPr>
        <w:pStyle w:val="33"/>
        <w:numPr>
          <w:ilvl w:val="0"/>
          <w:numId w:val="1"/>
        </w:numPr>
        <w:spacing w:line="600" w:lineRule="exact"/>
        <w:ind w:firstLineChars="0"/>
        <w:outlineLvl w:val="1"/>
        <w:rPr>
          <w:rStyle w:val="2Char"/>
          <w:rFonts w:ascii="方正黑体_GBK" w:eastAsia="方正黑体_GBK"/>
          <w:b w:val="0"/>
          <w:sz w:val="33"/>
          <w:szCs w:val="33"/>
        </w:rPr>
      </w:pPr>
      <w:bookmarkStart w:id="39" w:name="_Toc176532132"/>
      <w:bookmarkStart w:id="40" w:name="_Toc176800659"/>
      <w:bookmarkStart w:id="41" w:name="_Toc15396603"/>
      <w:bookmarkStart w:id="42" w:name="_Toc15377205"/>
      <w:r>
        <w:rPr>
          <w:rFonts w:ascii="方正黑体_GBK" w:eastAsia="方正黑体_GBK" w:hint="eastAsia"/>
          <w:sz w:val="33"/>
          <w:szCs w:val="33"/>
        </w:rPr>
        <w:t>收</w:t>
      </w:r>
      <w:r>
        <w:rPr>
          <w:rStyle w:val="2Char"/>
          <w:rFonts w:ascii="方正黑体_GBK" w:eastAsia="方正黑体_GBK" w:hint="eastAsia"/>
          <w:b w:val="0"/>
          <w:sz w:val="33"/>
          <w:szCs w:val="33"/>
        </w:rPr>
        <w:t>入支出决算总体情况说明</w:t>
      </w:r>
      <w:bookmarkEnd w:id="39"/>
      <w:bookmarkEnd w:id="40"/>
      <w:bookmarkEnd w:id="41"/>
      <w:bookmarkEnd w:id="42"/>
    </w:p>
    <w:p>
      <w:pPr>
        <w:ind w:firstLineChars="200" w:firstLine="660"/>
        <w:rPr>
          <w:rFonts w:eastAsia="方正仿宋_GBK"/>
          <w:sz w:val="33"/>
          <w:szCs w:val="33"/>
        </w:rPr>
      </w:pPr>
      <w:r>
        <w:rPr>
          <w:rFonts w:eastAsia="方正仿宋_GBK" w:hint="eastAsia"/>
          <w:sz w:val="33"/>
          <w:szCs w:val="33"/>
        </w:rPr>
        <w:t>2023年度收、支总计均为2287.61万元。与2022年度相比，收入增加322.94万元，增长16.44；支出增加170.84万元，增长8.07</w:t>
      </w:r>
      <w:r>
        <w:rPr>
          <w:rFonts w:eastAsia="方正仿宋_GBK"/>
          <w:sz w:val="33"/>
          <w:szCs w:val="33"/>
        </w:rPr>
        <w:t>%</w:t>
      </w:r>
      <w:r>
        <w:rPr>
          <w:rFonts w:eastAsia="方正仿宋_GBK" w:hint="eastAsia"/>
          <w:sz w:val="33"/>
          <w:szCs w:val="33"/>
        </w:rPr>
        <w:t>。主要变动原因是人员增加，项目增加。</w:t>
      </w:r>
    </w:p>
    <w:p>
      <w:pPr>
        <w:pStyle w:val="15"/>
      </w:pPr>
      <w:r>
        <w:drawing>
          <wp:inline distT="0" distB="0" distL="114300" distR="114300">
            <wp:extent cx="4826000" cy="2743200"/>
            <wp:effectExtent l="0" t="0" r="0" b="0"/>
            <wp:docPr id="1" name="图表 1"/>
            <wp:cNvGraphicFramePr>
              <a:graphicFrameLocks noChangeAspect="0"/>
            </wp:cNvGraphicFramePr>
            <a:graphic>
              <a:graphicData uri="http://schemas.openxmlformats.org/drawingml/2006/chart">
                <c:chart xmlns:c="http://schemas.openxmlformats.org/drawingml/2006/chart" r:id="rId4"/>
              </a:graphicData>
            </a:graphic>
          </wp:inline>
        </w:drawing>
      </w:r>
    </w:p>
    <w:p>
      <w:pPr>
        <w:pStyle w:val="33"/>
        <w:numPr>
          <w:ilvl w:val="0"/>
          <w:numId w:val="1"/>
        </w:numPr>
        <w:spacing w:line="600" w:lineRule="exact"/>
        <w:ind w:firstLineChars="0"/>
        <w:outlineLvl w:val="1"/>
        <w:rPr>
          <w:rFonts w:ascii="方正黑体_GBK" w:eastAsia="方正黑体_GBK"/>
          <w:bCs/>
          <w:sz w:val="33"/>
          <w:szCs w:val="33"/>
        </w:rPr>
      </w:pPr>
      <w:bookmarkStart w:id="43" w:name="_Toc176800660"/>
      <w:bookmarkStart w:id="44" w:name="_Toc176532133"/>
      <w:bookmarkStart w:id="45" w:name="_Toc15377206"/>
      <w:bookmarkStart w:id="46" w:name="_Toc15396604"/>
      <w:r>
        <w:rPr>
          <w:rFonts w:ascii="方正黑体_GBK" w:eastAsia="方正黑体_GBK" w:hint="eastAsia"/>
          <w:sz w:val="33"/>
          <w:szCs w:val="33"/>
        </w:rPr>
        <w:t>收</w:t>
      </w:r>
      <w:r>
        <w:rPr>
          <w:rFonts w:ascii="方正黑体_GBK" w:eastAsia="方正黑体_GBK" w:hint="eastAsia"/>
          <w:bCs/>
          <w:sz w:val="33"/>
          <w:szCs w:val="33"/>
        </w:rPr>
        <w:t>入决算情况说明</w:t>
      </w:r>
      <w:bookmarkEnd w:id="43"/>
      <w:bookmarkEnd w:id="44"/>
      <w:bookmarkEnd w:id="45"/>
      <w:bookmarkEnd w:id="46"/>
    </w:p>
    <w:p>
      <w:pPr>
        <w:ind w:firstLineChars="200" w:firstLine="660"/>
        <w:rPr>
          <w:rFonts w:eastAsia="方正仿宋_GBK" w:hint="eastAsia"/>
          <w:sz w:val="33"/>
          <w:szCs w:val="33"/>
          <w:lang w:eastAsia="zh-CN"/>
        </w:rPr>
      </w:pPr>
      <w:r>
        <w:rPr>
          <w:rFonts w:eastAsia="方正仿宋_GBK" w:hint="eastAsia"/>
          <w:sz w:val="33"/>
          <w:szCs w:val="33"/>
        </w:rPr>
        <w:t>2023年度本年收入合计</w:t>
      </w:r>
      <w:r>
        <w:rPr>
          <w:rFonts w:eastAsia="方正仿宋_GBK"/>
          <w:sz w:val="33"/>
          <w:szCs w:val="33"/>
        </w:rPr>
        <w:t>2281.39</w:t>
      </w:r>
      <w:r>
        <w:rPr>
          <w:rFonts w:eastAsia="方正仿宋_GBK" w:hint="eastAsia"/>
          <w:sz w:val="33"/>
          <w:szCs w:val="33"/>
        </w:rPr>
        <w:t>万元，其中：一般公共预算财政拨款收入</w:t>
      </w:r>
      <w:r>
        <w:rPr>
          <w:rFonts w:eastAsia="方正仿宋_GBK"/>
          <w:sz w:val="33"/>
          <w:szCs w:val="33"/>
        </w:rPr>
        <w:t>2277.79</w:t>
      </w:r>
      <w:r>
        <w:rPr>
          <w:rFonts w:eastAsia="方正仿宋_GBK" w:hint="eastAsia"/>
          <w:sz w:val="33"/>
          <w:szCs w:val="33"/>
        </w:rPr>
        <w:t>万元，占</w:t>
      </w:r>
      <w:r>
        <w:rPr>
          <w:rFonts w:eastAsia="方正仿宋_GBK"/>
          <w:sz w:val="33"/>
          <w:szCs w:val="33"/>
        </w:rPr>
        <w:t>99.84%</w:t>
      </w:r>
      <w:r>
        <w:rPr>
          <w:rFonts w:eastAsia="方正仿宋_GBK" w:hint="eastAsia"/>
          <w:sz w:val="33"/>
          <w:szCs w:val="33"/>
        </w:rPr>
        <w:t>；政府性基金预算财政拨款收入</w:t>
      </w:r>
      <w:r>
        <w:rPr>
          <w:rFonts w:eastAsia="方正仿宋_GBK"/>
          <w:sz w:val="33"/>
          <w:szCs w:val="33"/>
        </w:rPr>
        <w:t>0</w:t>
      </w:r>
      <w:r>
        <w:rPr>
          <w:rFonts w:eastAsia="方正仿宋_GBK" w:hint="eastAsia"/>
          <w:sz w:val="33"/>
          <w:szCs w:val="33"/>
        </w:rPr>
        <w:t>万元，占</w:t>
      </w:r>
      <w:r>
        <w:rPr>
          <w:rFonts w:eastAsia="方正仿宋_GBK"/>
          <w:sz w:val="33"/>
          <w:szCs w:val="33"/>
        </w:rPr>
        <w:t>0%</w:t>
      </w:r>
      <w:r>
        <w:rPr>
          <w:rFonts w:eastAsia="方正仿宋_GBK" w:hint="eastAsia"/>
          <w:sz w:val="33"/>
          <w:szCs w:val="33"/>
        </w:rPr>
        <w:t>；国有资本经营预算财政拨款收入</w:t>
      </w:r>
      <w:r>
        <w:rPr>
          <w:rFonts w:eastAsia="方正仿宋_GBK"/>
          <w:sz w:val="33"/>
          <w:szCs w:val="33"/>
        </w:rPr>
        <w:t>0</w:t>
      </w:r>
      <w:r>
        <w:rPr>
          <w:rFonts w:eastAsia="方正仿宋_GBK" w:hint="eastAsia"/>
          <w:sz w:val="33"/>
          <w:szCs w:val="33"/>
        </w:rPr>
        <w:t>万元，占</w:t>
      </w:r>
      <w:r>
        <w:rPr>
          <w:rFonts w:eastAsia="方正仿宋_GBK"/>
          <w:sz w:val="33"/>
          <w:szCs w:val="33"/>
        </w:rPr>
        <w:t>0%</w:t>
      </w:r>
      <w:r>
        <w:rPr>
          <w:rFonts w:eastAsia="方正仿宋_GBK" w:hint="eastAsia"/>
          <w:sz w:val="33"/>
          <w:szCs w:val="33"/>
        </w:rPr>
        <w:t>；上级补助收入</w:t>
      </w:r>
      <w:r>
        <w:rPr>
          <w:rFonts w:eastAsia="方正仿宋_GBK"/>
          <w:sz w:val="33"/>
          <w:szCs w:val="33"/>
        </w:rPr>
        <w:t>0</w:t>
      </w:r>
      <w:r>
        <w:rPr>
          <w:rFonts w:eastAsia="方正仿宋_GBK" w:hint="eastAsia"/>
          <w:sz w:val="33"/>
          <w:szCs w:val="33"/>
        </w:rPr>
        <w:t>万元，占</w:t>
      </w:r>
      <w:r>
        <w:rPr>
          <w:rFonts w:eastAsia="方正仿宋_GBK"/>
          <w:sz w:val="33"/>
          <w:szCs w:val="33"/>
        </w:rPr>
        <w:t>0%</w:t>
      </w:r>
      <w:r>
        <w:rPr>
          <w:rFonts w:eastAsia="方正仿宋_GBK" w:hint="eastAsia"/>
          <w:sz w:val="33"/>
          <w:szCs w:val="33"/>
        </w:rPr>
        <w:t>；事业收入</w:t>
      </w:r>
      <w:r>
        <w:rPr>
          <w:rFonts w:eastAsia="方正仿宋_GBK"/>
          <w:sz w:val="33"/>
          <w:szCs w:val="33"/>
        </w:rPr>
        <w:t>0</w:t>
      </w:r>
      <w:r>
        <w:rPr>
          <w:rFonts w:eastAsia="方正仿宋_GBK" w:hint="eastAsia"/>
          <w:sz w:val="33"/>
          <w:szCs w:val="33"/>
        </w:rPr>
        <w:t>万元，占</w:t>
      </w:r>
      <w:r>
        <w:rPr>
          <w:rFonts w:eastAsia="方正仿宋_GBK"/>
          <w:sz w:val="33"/>
          <w:szCs w:val="33"/>
        </w:rPr>
        <w:t>0%</w:t>
      </w:r>
      <w:r>
        <w:rPr>
          <w:rFonts w:eastAsia="方正仿宋_GBK" w:hint="eastAsia"/>
          <w:sz w:val="33"/>
          <w:szCs w:val="33"/>
        </w:rPr>
        <w:t>；经营收入</w:t>
      </w:r>
      <w:r>
        <w:rPr>
          <w:rFonts w:eastAsia="方正仿宋_GBK"/>
          <w:sz w:val="33"/>
          <w:szCs w:val="33"/>
        </w:rPr>
        <w:t>0</w:t>
      </w:r>
      <w:r>
        <w:rPr>
          <w:rFonts w:eastAsia="方正仿宋_GBK" w:hint="eastAsia"/>
          <w:sz w:val="33"/>
          <w:szCs w:val="33"/>
        </w:rPr>
        <w:t>万元，占</w:t>
      </w:r>
      <w:r>
        <w:rPr>
          <w:rFonts w:eastAsia="方正仿宋_GBK"/>
          <w:sz w:val="33"/>
          <w:szCs w:val="33"/>
        </w:rPr>
        <w:t>0%</w:t>
      </w:r>
      <w:r>
        <w:rPr>
          <w:rFonts w:eastAsia="方正仿宋_GBK" w:hint="eastAsia"/>
          <w:sz w:val="33"/>
          <w:szCs w:val="33"/>
        </w:rPr>
        <w:t>；附属单位上缴收入</w:t>
      </w:r>
      <w:r>
        <w:rPr>
          <w:rFonts w:eastAsia="方正仿宋_GBK"/>
          <w:sz w:val="33"/>
          <w:szCs w:val="33"/>
        </w:rPr>
        <w:t>0</w:t>
      </w:r>
      <w:r>
        <w:rPr>
          <w:rFonts w:eastAsia="方正仿宋_GBK" w:hint="eastAsia"/>
          <w:sz w:val="33"/>
          <w:szCs w:val="33"/>
        </w:rPr>
        <w:t>万元，占</w:t>
      </w:r>
      <w:r>
        <w:rPr>
          <w:rFonts w:eastAsia="方正仿宋_GBK"/>
          <w:sz w:val="33"/>
          <w:szCs w:val="33"/>
        </w:rPr>
        <w:t>0%</w:t>
      </w:r>
      <w:r>
        <w:rPr>
          <w:rFonts w:eastAsia="方正仿宋_GBK" w:hint="eastAsia"/>
          <w:sz w:val="33"/>
          <w:szCs w:val="33"/>
        </w:rPr>
        <w:t>；其他收入</w:t>
      </w:r>
      <w:r>
        <w:rPr>
          <w:rFonts w:eastAsia="方正仿宋_GBK"/>
          <w:sz w:val="33"/>
          <w:szCs w:val="33"/>
        </w:rPr>
        <w:t>3.6</w:t>
      </w:r>
      <w:r>
        <w:rPr>
          <w:rFonts w:eastAsia="方正仿宋_GBK" w:hint="eastAsia"/>
          <w:sz w:val="33"/>
          <w:szCs w:val="33"/>
        </w:rPr>
        <w:t>万元，占</w:t>
      </w:r>
      <w:r>
        <w:rPr>
          <w:rFonts w:eastAsia="方正仿宋_GBK"/>
          <w:sz w:val="33"/>
          <w:szCs w:val="33"/>
        </w:rPr>
        <w:t>0.15%</w:t>
      </w:r>
      <w:r>
        <w:rPr>
          <w:rFonts w:eastAsia="方正仿宋_GBK" w:hint="eastAsia"/>
          <w:sz w:val="33"/>
          <w:szCs w:val="33"/>
          <w:lang w:eastAsia="zh-CN"/>
        </w:rPr>
        <w:t>。</w:t>
      </w:r>
    </w:p>
    <w:p>
      <w:pPr>
        <w:pStyle w:val="15"/>
      </w:pPr>
      <w:r>
        <w:drawing>
          <wp:inline distT="0" distB="0" distL="114300" distR="114300">
            <wp:extent cx="4826000" cy="2743200"/>
            <wp:effectExtent l="0" t="0" r="0" b="0"/>
            <wp:docPr id="2" name="图表 2"/>
            <wp:cNvGraphicFramePr>
              <a:graphicFrameLocks noChangeAspect="0"/>
            </wp:cNvGraphicFramePr>
            <a:graphic>
              <a:graphicData uri="http://schemas.openxmlformats.org/drawingml/2006/chart">
                <c:chart xmlns:c="http://schemas.openxmlformats.org/drawingml/2006/chart" r:id="rId5"/>
              </a:graphicData>
            </a:graphic>
          </wp:inline>
        </w:drawing>
      </w:r>
    </w:p>
    <w:p/>
    <w:p>
      <w:pPr>
        <w:pStyle w:val="33"/>
        <w:numPr>
          <w:ilvl w:val="0"/>
          <w:numId w:val="1"/>
        </w:numPr>
        <w:spacing w:line="600" w:lineRule="exact"/>
        <w:ind w:firstLineChars="0"/>
        <w:outlineLvl w:val="1"/>
        <w:rPr>
          <w:rFonts w:ascii="方正黑体_GBK" w:eastAsia="方正黑体_GBK"/>
          <w:bCs/>
          <w:sz w:val="33"/>
          <w:szCs w:val="33"/>
        </w:rPr>
      </w:pPr>
      <w:bookmarkStart w:id="47" w:name="_Toc176800661"/>
      <w:bookmarkStart w:id="48" w:name="_Toc15396605"/>
      <w:bookmarkStart w:id="49" w:name="_Toc15377207"/>
      <w:bookmarkStart w:id="50" w:name="_Toc176532134"/>
      <w:bookmarkStart w:id="51" w:name="_Toc176532135"/>
      <w:r>
        <w:rPr>
          <w:rFonts w:ascii="方正黑体_GBK" w:eastAsia="方正黑体_GBK" w:hint="eastAsia"/>
          <w:sz w:val="33"/>
          <w:szCs w:val="33"/>
        </w:rPr>
        <w:t>支</w:t>
      </w:r>
      <w:r>
        <w:rPr>
          <w:rFonts w:ascii="方正黑体_GBK" w:eastAsia="方正黑体_GBK" w:hint="eastAsia"/>
          <w:bCs/>
          <w:sz w:val="33"/>
          <w:szCs w:val="33"/>
        </w:rPr>
        <w:t>出决算情况说明</w:t>
      </w:r>
      <w:bookmarkEnd w:id="47"/>
      <w:bookmarkEnd w:id="48"/>
      <w:bookmarkEnd w:id="49"/>
      <w:bookmarkEnd w:id="50"/>
    </w:p>
    <w:p>
      <w:pPr>
        <w:spacing w:line="600" w:lineRule="exact"/>
        <w:ind w:firstLineChars="200" w:firstLine="660"/>
        <w:outlineLvl w:val="1"/>
        <w:rPr>
          <w:rFonts w:eastAsia="方正仿宋_GBK"/>
          <w:sz w:val="33"/>
          <w:szCs w:val="33"/>
        </w:rPr>
      </w:pPr>
      <w:bookmarkStart w:id="52" w:name="_Toc176800662"/>
      <w:r>
        <w:rPr>
          <w:rFonts w:eastAsia="方正仿宋_GBK" w:hint="eastAsia"/>
          <w:sz w:val="33"/>
          <w:szCs w:val="33"/>
        </w:rPr>
        <w:t>2023年度本年支出合计</w:t>
      </w:r>
      <w:r>
        <w:rPr>
          <w:rFonts w:eastAsia="方正仿宋_GBK"/>
          <w:sz w:val="33"/>
          <w:szCs w:val="33"/>
        </w:rPr>
        <w:t>2280.01</w:t>
      </w:r>
      <w:r>
        <w:rPr>
          <w:rFonts w:eastAsia="方正仿宋_GBK" w:hint="eastAsia"/>
          <w:sz w:val="33"/>
          <w:szCs w:val="33"/>
        </w:rPr>
        <w:t>万元，其中：基本支出</w:t>
      </w:r>
      <w:r>
        <w:rPr>
          <w:rFonts w:eastAsia="方正仿宋_GBK"/>
          <w:sz w:val="33"/>
          <w:szCs w:val="33"/>
        </w:rPr>
        <w:t>1826.61</w:t>
      </w:r>
      <w:r>
        <w:rPr>
          <w:rFonts w:eastAsia="方正仿宋_GBK" w:hint="eastAsia"/>
          <w:sz w:val="33"/>
          <w:szCs w:val="33"/>
        </w:rPr>
        <w:t>万元，占</w:t>
      </w:r>
      <w:r>
        <w:rPr>
          <w:rFonts w:eastAsia="方正仿宋_GBK"/>
          <w:sz w:val="33"/>
          <w:szCs w:val="33"/>
        </w:rPr>
        <w:t>80.11%</w:t>
      </w:r>
      <w:r>
        <w:rPr>
          <w:rFonts w:eastAsia="方正仿宋_GBK" w:hint="eastAsia"/>
          <w:sz w:val="33"/>
          <w:szCs w:val="33"/>
        </w:rPr>
        <w:t>；项目支出</w:t>
      </w:r>
      <w:r>
        <w:rPr>
          <w:rFonts w:eastAsia="方正仿宋_GBK"/>
          <w:sz w:val="33"/>
          <w:szCs w:val="33"/>
        </w:rPr>
        <w:t>453.4</w:t>
      </w:r>
      <w:r>
        <w:rPr>
          <w:rFonts w:eastAsia="方正仿宋_GBK" w:hint="eastAsia"/>
          <w:sz w:val="33"/>
          <w:szCs w:val="33"/>
        </w:rPr>
        <w:t>万元，占</w:t>
      </w:r>
      <w:r>
        <w:rPr>
          <w:rFonts w:eastAsia="方正仿宋_GBK"/>
          <w:sz w:val="33"/>
          <w:szCs w:val="33"/>
        </w:rPr>
        <w:t>19.88%</w:t>
      </w:r>
      <w:r>
        <w:rPr>
          <w:rFonts w:eastAsia="方正仿宋_GBK" w:hint="eastAsia"/>
          <w:sz w:val="33"/>
          <w:szCs w:val="33"/>
        </w:rPr>
        <w:t>；上缴上级支出</w:t>
      </w:r>
      <w:r>
        <w:rPr>
          <w:rFonts w:eastAsia="方正仿宋_GBK"/>
          <w:sz w:val="33"/>
          <w:szCs w:val="33"/>
        </w:rPr>
        <w:t>0</w:t>
      </w:r>
      <w:r>
        <w:rPr>
          <w:rFonts w:eastAsia="方正仿宋_GBK" w:hint="eastAsia"/>
          <w:sz w:val="33"/>
          <w:szCs w:val="33"/>
        </w:rPr>
        <w:t>万元，占0</w:t>
      </w:r>
      <w:r>
        <w:rPr>
          <w:rFonts w:eastAsia="方正仿宋_GBK"/>
          <w:sz w:val="33"/>
          <w:szCs w:val="33"/>
        </w:rPr>
        <w:t>%</w:t>
      </w:r>
      <w:r>
        <w:rPr>
          <w:rFonts w:eastAsia="方正仿宋_GBK" w:hint="eastAsia"/>
          <w:sz w:val="33"/>
          <w:szCs w:val="33"/>
        </w:rPr>
        <w:t>；经营支出</w:t>
      </w:r>
      <w:r>
        <w:rPr>
          <w:rFonts w:eastAsia="方正仿宋_GBK"/>
          <w:sz w:val="33"/>
          <w:szCs w:val="33"/>
        </w:rPr>
        <w:t>0</w:t>
      </w:r>
      <w:r>
        <w:rPr>
          <w:rFonts w:eastAsia="方正仿宋_GBK" w:hint="eastAsia"/>
          <w:sz w:val="33"/>
          <w:szCs w:val="33"/>
        </w:rPr>
        <w:t>万元，占</w:t>
      </w:r>
      <w:r>
        <w:rPr>
          <w:rFonts w:eastAsia="方正仿宋_GBK"/>
          <w:sz w:val="33"/>
          <w:szCs w:val="33"/>
        </w:rPr>
        <w:t>0%</w:t>
      </w:r>
      <w:r>
        <w:rPr>
          <w:rFonts w:eastAsia="方正仿宋_GBK" w:hint="eastAsia"/>
          <w:sz w:val="33"/>
          <w:szCs w:val="33"/>
        </w:rPr>
        <w:t>；对附属单位补助支出</w:t>
      </w:r>
      <w:r>
        <w:rPr>
          <w:rFonts w:eastAsia="方正仿宋_GBK"/>
          <w:sz w:val="33"/>
          <w:szCs w:val="33"/>
        </w:rPr>
        <w:t>0</w:t>
      </w:r>
      <w:r>
        <w:rPr>
          <w:rFonts w:eastAsia="方正仿宋_GBK" w:hint="eastAsia"/>
          <w:sz w:val="33"/>
          <w:szCs w:val="33"/>
        </w:rPr>
        <w:t>万元，占</w:t>
      </w:r>
      <w:r>
        <w:rPr>
          <w:rFonts w:eastAsia="方正仿宋_GBK"/>
          <w:sz w:val="33"/>
          <w:szCs w:val="33"/>
        </w:rPr>
        <w:t>0%</w:t>
      </w:r>
      <w:r>
        <w:rPr>
          <w:rFonts w:eastAsia="方正仿宋_GBK" w:hint="eastAsia"/>
          <w:sz w:val="33"/>
          <w:szCs w:val="33"/>
        </w:rPr>
        <w:t>。</w:t>
      </w:r>
      <w:bookmarkEnd w:id="51"/>
      <w:bookmarkEnd w:id="52"/>
    </w:p>
    <w:p>
      <w:r>
        <w:drawing>
          <wp:inline distT="0" distB="0" distL="114300" distR="114300">
            <wp:extent cx="4826000" cy="2743200"/>
            <wp:effectExtent l="0" t="0" r="0" b="0"/>
            <wp:docPr id="3" name="图表 3"/>
            <wp:cNvGraphicFramePr>
              <a:graphicFrameLocks noChangeAspect="0"/>
            </wp:cNvGraphicFramePr>
            <a:graphic>
              <a:graphicData uri="http://schemas.openxmlformats.org/drawingml/2006/chart">
                <c:chart xmlns:c="http://schemas.openxmlformats.org/drawingml/2006/chart" r:id="rId6"/>
              </a:graphicData>
            </a:graphic>
          </wp:inline>
        </w:drawing>
      </w:r>
    </w:p>
    <w:p/>
    <w:p>
      <w:pPr>
        <w:spacing w:line="600" w:lineRule="exact"/>
        <w:ind w:left="640"/>
        <w:outlineLvl w:val="1"/>
        <w:rPr>
          <w:rFonts w:ascii="方正黑体_GBK" w:eastAsia="方正黑体_GBK"/>
          <w:bCs/>
          <w:sz w:val="33"/>
          <w:szCs w:val="33"/>
        </w:rPr>
      </w:pPr>
      <w:bookmarkStart w:id="53" w:name="_Toc176800663"/>
      <w:bookmarkStart w:id="54" w:name="_Toc176532136"/>
      <w:bookmarkStart w:id="55" w:name="_Toc15396606"/>
      <w:bookmarkStart w:id="56" w:name="_Toc15377208"/>
      <w:bookmarkStart w:id="57" w:name="_Toc176532137"/>
      <w:r>
        <w:rPr>
          <w:rFonts w:ascii="方正黑体_GBK" w:eastAsia="方正黑体_GBK" w:hint="eastAsia"/>
          <w:sz w:val="33"/>
          <w:szCs w:val="33"/>
        </w:rPr>
        <w:t>四、财</w:t>
      </w:r>
      <w:r>
        <w:rPr>
          <w:rFonts w:ascii="方正黑体_GBK" w:eastAsia="方正黑体_GBK" w:hint="eastAsia"/>
          <w:bCs/>
          <w:sz w:val="33"/>
          <w:szCs w:val="33"/>
        </w:rPr>
        <w:t>政拨款收入支出决算总体情况说明</w:t>
      </w:r>
      <w:bookmarkEnd w:id="53"/>
      <w:bookmarkEnd w:id="54"/>
      <w:bookmarkEnd w:id="55"/>
      <w:bookmarkEnd w:id="56"/>
    </w:p>
    <w:p>
      <w:pPr>
        <w:spacing w:line="600" w:lineRule="exact"/>
        <w:ind w:firstLineChars="200" w:firstLine="660"/>
        <w:outlineLvl w:val="1"/>
        <w:rPr>
          <w:rFonts w:eastAsia="方正仿宋_GBK"/>
          <w:sz w:val="33"/>
          <w:szCs w:val="33"/>
        </w:rPr>
      </w:pPr>
      <w:bookmarkStart w:id="58" w:name="_Toc176800664"/>
      <w:r>
        <w:rPr>
          <w:rFonts w:eastAsia="方正仿宋_GBK" w:hint="eastAsia"/>
          <w:sz w:val="33"/>
          <w:szCs w:val="33"/>
        </w:rPr>
        <w:t>2023年度财政拨款收、支总计均为</w:t>
      </w:r>
      <w:r>
        <w:rPr>
          <w:rFonts w:eastAsia="方正仿宋_GBK"/>
          <w:sz w:val="33"/>
          <w:szCs w:val="33"/>
        </w:rPr>
        <w:t>2277.79</w:t>
      </w:r>
      <w:r>
        <w:rPr>
          <w:rFonts w:eastAsia="方正仿宋_GBK" w:hint="eastAsia"/>
          <w:sz w:val="33"/>
          <w:szCs w:val="33"/>
        </w:rPr>
        <w:t>万元。与2022年度相比，财政拨款收、支总计各增加161.12万元，增长7.61</w:t>
      </w:r>
      <w:r>
        <w:rPr>
          <w:rFonts w:eastAsia="方正仿宋_GBK"/>
          <w:sz w:val="33"/>
          <w:szCs w:val="33"/>
        </w:rPr>
        <w:t>%</w:t>
      </w:r>
      <w:r>
        <w:rPr>
          <w:rFonts w:eastAsia="方正仿宋_GBK" w:hint="eastAsia"/>
          <w:sz w:val="33"/>
          <w:szCs w:val="33"/>
        </w:rPr>
        <w:t>。主要变动原因是人员增加，项目增加。</w:t>
      </w:r>
      <w:bookmarkEnd w:id="57"/>
      <w:bookmarkEnd w:id="58"/>
    </w:p>
    <w:p>
      <w:pPr>
        <w:pStyle w:val="15"/>
      </w:pPr>
    </w:p>
    <w:p>
      <w:r>
        <w:drawing>
          <wp:inline distT="0" distB="0" distL="114300" distR="114300">
            <wp:extent cx="4826000" cy="2743200"/>
            <wp:effectExtent l="0" t="0" r="0" b="0"/>
            <wp:docPr id="4" name="图表 4"/>
            <wp:cNvGraphicFramePr>
              <a:graphicFrameLocks noChangeAspect="0"/>
            </wp:cNvGraphicFramePr>
            <a:graphic>
              <a:graphicData uri="http://schemas.openxmlformats.org/drawingml/2006/chart">
                <c:chart xmlns:c="http://schemas.openxmlformats.org/drawingml/2006/chart" r:id="rId7"/>
              </a:graphicData>
            </a:graphic>
          </wp:inline>
        </w:drawing>
      </w:r>
    </w:p>
    <w:p/>
    <w:p>
      <w:pPr>
        <w:spacing w:line="600" w:lineRule="exact"/>
        <w:ind w:left="640"/>
        <w:outlineLvl w:val="1"/>
        <w:rPr>
          <w:rFonts w:ascii="方正黑体_GBK" w:eastAsia="方正黑体_GBK"/>
          <w:bCs/>
          <w:sz w:val="33"/>
          <w:szCs w:val="33"/>
        </w:rPr>
      </w:pPr>
      <w:bookmarkStart w:id="59" w:name="_Toc15377209"/>
      <w:bookmarkStart w:id="60" w:name="_Toc15396607"/>
      <w:bookmarkStart w:id="61" w:name="_Toc176800665"/>
      <w:bookmarkStart w:id="62" w:name="_Toc176532138"/>
      <w:r>
        <w:rPr>
          <w:rFonts w:ascii="方正黑体_GBK" w:eastAsia="方正黑体_GBK" w:hint="eastAsia"/>
          <w:sz w:val="33"/>
          <w:szCs w:val="33"/>
        </w:rPr>
        <w:t>五、一</w:t>
      </w:r>
      <w:r>
        <w:rPr>
          <w:rFonts w:ascii="方正黑体_GBK" w:eastAsia="方正黑体_GBK" w:hint="eastAsia"/>
          <w:bCs/>
          <w:sz w:val="33"/>
          <w:szCs w:val="33"/>
        </w:rPr>
        <w:t>般公共预算财政拨款支出决算情况说明</w:t>
      </w:r>
      <w:bookmarkEnd w:id="59"/>
      <w:bookmarkEnd w:id="60"/>
      <w:bookmarkEnd w:id="61"/>
      <w:bookmarkEnd w:id="62"/>
    </w:p>
    <w:p>
      <w:pPr>
        <w:spacing w:line="600" w:lineRule="exact"/>
        <w:ind w:firstLineChars="200" w:firstLine="660"/>
        <w:outlineLvl w:val="2"/>
        <w:rPr>
          <w:rFonts w:ascii="方正楷体_GBK" w:eastAsia="方正楷体_GBK"/>
          <w:b/>
          <w:sz w:val="33"/>
          <w:szCs w:val="33"/>
        </w:rPr>
      </w:pPr>
      <w:bookmarkStart w:id="63" w:name="_Toc176800666"/>
      <w:bookmarkStart w:id="64" w:name="_Toc15377210"/>
      <w:bookmarkStart w:id="65" w:name="_Toc176532139"/>
      <w:r>
        <w:rPr>
          <w:rFonts w:ascii="方正楷体_GBK" w:eastAsia="方正楷体_GBK" w:hint="eastAsia"/>
          <w:b/>
          <w:sz w:val="33"/>
          <w:szCs w:val="33"/>
        </w:rPr>
        <w:t>（一）一般公共预算财政拨款支出决算总体情况</w:t>
      </w:r>
      <w:bookmarkEnd w:id="63"/>
      <w:bookmarkEnd w:id="64"/>
      <w:bookmarkEnd w:id="65"/>
    </w:p>
    <w:p>
      <w:pPr>
        <w:spacing w:line="600" w:lineRule="exact"/>
        <w:ind w:firstLineChars="200" w:firstLine="660"/>
        <w:outlineLvl w:val="1"/>
        <w:rPr>
          <w:rFonts w:eastAsia="方正仿宋_GBK"/>
          <w:sz w:val="33"/>
          <w:szCs w:val="33"/>
        </w:rPr>
      </w:pPr>
      <w:bookmarkStart w:id="66" w:name="_Toc176800667"/>
      <w:bookmarkStart w:id="67" w:name="_Toc176532140"/>
      <w:r>
        <w:rPr>
          <w:rFonts w:eastAsia="方正仿宋_GBK" w:hint="eastAsia"/>
          <w:sz w:val="33"/>
          <w:szCs w:val="33"/>
        </w:rPr>
        <w:t>2023年度一般公共预算财政拨款支出</w:t>
      </w:r>
      <w:r>
        <w:rPr>
          <w:rFonts w:eastAsia="方正仿宋_GBK"/>
          <w:sz w:val="33"/>
          <w:szCs w:val="33"/>
        </w:rPr>
        <w:t>2277.79</w:t>
      </w:r>
      <w:r>
        <w:rPr>
          <w:rFonts w:eastAsia="方正仿宋_GBK" w:hint="eastAsia"/>
          <w:sz w:val="33"/>
          <w:szCs w:val="33"/>
        </w:rPr>
        <w:t>万元，占本年支出合计的</w:t>
      </w:r>
      <w:r>
        <w:rPr>
          <w:rFonts w:eastAsia="方正仿宋_GBK"/>
          <w:sz w:val="33"/>
          <w:szCs w:val="33"/>
        </w:rPr>
        <w:t>99.9%</w:t>
      </w:r>
      <w:r>
        <w:rPr>
          <w:rFonts w:eastAsia="方正仿宋_GBK" w:hint="eastAsia"/>
          <w:sz w:val="33"/>
          <w:szCs w:val="33"/>
        </w:rPr>
        <w:t>。与2022年度相比，一般公共预算财政拨款支出增加161.12万元，增长7.61</w:t>
      </w:r>
      <w:r>
        <w:rPr>
          <w:rFonts w:eastAsia="方正仿宋_GBK"/>
          <w:sz w:val="33"/>
          <w:szCs w:val="33"/>
        </w:rPr>
        <w:t>%</w:t>
      </w:r>
      <w:r>
        <w:rPr>
          <w:rFonts w:eastAsia="方正仿宋_GBK" w:hint="eastAsia"/>
          <w:sz w:val="33"/>
          <w:szCs w:val="33"/>
        </w:rPr>
        <w:t>。主要变动原因是人员增加，项目增加。</w:t>
      </w:r>
      <w:bookmarkEnd w:id="66"/>
      <w:bookmarkEnd w:id="67"/>
    </w:p>
    <w:p>
      <w:pPr>
        <w:pStyle w:val="15"/>
      </w:pPr>
      <w:r>
        <w:drawing>
          <wp:inline distT="0" distB="0" distL="85723" distR="85723">
            <wp:extent cx="5111350" cy="2742674"/>
            <wp:effectExtent l="0" t="1" r="27" b="7"/>
            <wp:docPr id="5" name="图片"/>
            <wp:cNvGraphicFramePr>
              <a:graphicFrameLocks noChangeAspect="1"/>
            </wp:cNvGraphicFramePr>
            <a:graphic>
              <a:graphicData uri="http://schemas.openxmlformats.org/drawingml/2006/picture">
                <pic:pic>
                  <pic:nvPicPr>
                    <pic:cNvPr id="7" name="图片 7"/>
                    <pic:cNvPicPr/>
                  </pic:nvPicPr>
                  <pic:blipFill>
                    <a:blip r:embed="rId8"/>
                    <a:stretch>
                      <a:fillRect/>
                    </a:stretch>
                  </pic:blipFill>
                  <pic:spPr>
                    <a:xfrm rot="0">
                      <a:off x="0" y="0"/>
                      <a:ext cx="5111350" cy="2742674"/>
                    </a:xfrm>
                    <a:prstGeom prst="rect"/>
                    <a:noFill/>
                    <a:ln w="9525" cmpd="sng" cap="flat">
                      <a:noFill/>
                      <a:prstDash val="solid"/>
                      <a:miter/>
                    </a:ln>
                  </pic:spPr>
                </pic:pic>
              </a:graphicData>
            </a:graphic>
          </wp:inline>
        </w:drawing>
      </w:r>
      <w:bookmarkStart w:id="68" w:name="_GoBack"/>
      <w:bookmarkEnd w:id="68"/>
    </w:p>
    <w:p>
      <w:pPr>
        <w:spacing w:line="600" w:lineRule="exact"/>
        <w:ind w:firstLineChars="200" w:firstLine="660"/>
        <w:outlineLvl w:val="2"/>
        <w:rPr>
          <w:rFonts w:ascii="方正楷体_GBK" w:eastAsia="方正楷体_GBK"/>
          <w:b/>
          <w:sz w:val="33"/>
          <w:szCs w:val="33"/>
        </w:rPr>
      </w:pPr>
      <w:bookmarkStart w:id="69" w:name="_Toc176532141"/>
      <w:bookmarkStart w:id="70" w:name="_Toc176800668"/>
      <w:bookmarkStart w:id="71" w:name="_Toc15377211"/>
      <w:bookmarkStart w:id="72" w:name="_Toc15377214"/>
      <w:bookmarkStart w:id="73" w:name="_Toc15396608"/>
      <w:r>
        <w:rPr>
          <w:rFonts w:ascii="方正楷体_GBK" w:eastAsia="方正楷体_GBK" w:hint="eastAsia"/>
          <w:b/>
          <w:sz w:val="33"/>
          <w:szCs w:val="33"/>
        </w:rPr>
        <w:t>（二）一般公共预算财政拨款支出决算结构情况</w:t>
      </w:r>
      <w:bookmarkEnd w:id="69"/>
      <w:bookmarkEnd w:id="70"/>
      <w:bookmarkEnd w:id="71"/>
    </w:p>
    <w:p>
      <w:pPr>
        <w:spacing w:line="600" w:lineRule="exact"/>
        <w:ind w:firstLine="640"/>
        <w:rPr>
          <w:rFonts w:eastAsia="方正仿宋_GBK"/>
          <w:sz w:val="33"/>
          <w:szCs w:val="33"/>
        </w:rPr>
      </w:pPr>
      <w:r>
        <w:rPr>
          <w:rFonts w:eastAsia="方正仿宋_GBK" w:hint="eastAsia"/>
          <w:sz w:val="33"/>
          <w:szCs w:val="33"/>
        </w:rPr>
        <w:t>2023年度一般公共预算财政拨款支出</w:t>
      </w:r>
      <w:r>
        <w:rPr>
          <w:rFonts w:eastAsia="方正仿宋_GBK"/>
          <w:sz w:val="33"/>
          <w:szCs w:val="33"/>
        </w:rPr>
        <w:t>2277.79</w:t>
      </w:r>
      <w:r>
        <w:rPr>
          <w:rFonts w:eastAsia="方正仿宋_GBK" w:hint="eastAsia"/>
          <w:sz w:val="33"/>
          <w:szCs w:val="33"/>
        </w:rPr>
        <w:t>万元，主要用于以下方面</w:t>
      </w:r>
      <w:r>
        <w:rPr>
          <w:rFonts w:eastAsia="方正仿宋_GBK"/>
          <w:sz w:val="33"/>
          <w:szCs w:val="33"/>
        </w:rPr>
        <w:t>:</w:t>
      </w:r>
      <w:r>
        <w:rPr>
          <w:rFonts w:eastAsia="方正仿宋_GBK" w:hint="eastAsia"/>
          <w:sz w:val="33"/>
          <w:szCs w:val="33"/>
        </w:rPr>
        <w:t>一般公共服务支出1460.52万元，占64.12</w:t>
      </w:r>
      <w:r>
        <w:rPr>
          <w:rFonts w:eastAsia="方正仿宋_GBK"/>
          <w:sz w:val="33"/>
          <w:szCs w:val="33"/>
        </w:rPr>
        <w:t>%</w:t>
      </w:r>
      <w:r>
        <w:rPr>
          <w:rFonts w:eastAsia="方正仿宋_GBK" w:hint="eastAsia"/>
          <w:sz w:val="33"/>
          <w:szCs w:val="33"/>
        </w:rPr>
        <w:t>；教育支出0万元，占0</w:t>
      </w:r>
      <w:r>
        <w:rPr>
          <w:rFonts w:eastAsia="方正仿宋_GBK"/>
          <w:sz w:val="33"/>
          <w:szCs w:val="33"/>
        </w:rPr>
        <w:t>%</w:t>
      </w:r>
      <w:r>
        <w:rPr>
          <w:rFonts w:eastAsia="方正仿宋_GBK" w:hint="eastAsia"/>
          <w:sz w:val="33"/>
          <w:szCs w:val="33"/>
        </w:rPr>
        <w:t>；科学技术支出0万元，占0</w:t>
      </w:r>
      <w:r>
        <w:rPr>
          <w:rFonts w:eastAsia="方正仿宋_GBK"/>
          <w:sz w:val="33"/>
          <w:szCs w:val="33"/>
        </w:rPr>
        <w:t>%</w:t>
      </w:r>
      <w:r>
        <w:rPr>
          <w:rFonts w:eastAsia="方正仿宋_GBK" w:hint="eastAsia"/>
          <w:sz w:val="33"/>
          <w:szCs w:val="33"/>
        </w:rPr>
        <w:t>；文化旅游体育与传媒支出0万元，占0</w:t>
      </w:r>
      <w:r>
        <w:rPr>
          <w:rFonts w:eastAsia="方正仿宋_GBK"/>
          <w:sz w:val="33"/>
          <w:szCs w:val="33"/>
        </w:rPr>
        <w:t>%</w:t>
      </w:r>
      <w:r>
        <w:rPr>
          <w:rFonts w:eastAsia="方正仿宋_GBK" w:hint="eastAsia"/>
          <w:sz w:val="33"/>
          <w:szCs w:val="33"/>
        </w:rPr>
        <w:t>；社会保障和就业支出632.66万元，占27.78</w:t>
      </w:r>
      <w:r>
        <w:rPr>
          <w:rFonts w:eastAsia="方正仿宋_GBK"/>
          <w:sz w:val="33"/>
          <w:szCs w:val="33"/>
        </w:rPr>
        <w:t>%</w:t>
      </w:r>
      <w:r>
        <w:rPr>
          <w:rFonts w:eastAsia="方正仿宋_GBK" w:hint="eastAsia"/>
          <w:sz w:val="33"/>
          <w:szCs w:val="33"/>
        </w:rPr>
        <w:t>；卫生健康支出84.59万元，占3.71</w:t>
      </w:r>
      <w:r>
        <w:rPr>
          <w:rFonts w:eastAsia="方正仿宋_GBK"/>
          <w:sz w:val="33"/>
          <w:szCs w:val="33"/>
        </w:rPr>
        <w:t>%</w:t>
      </w:r>
      <w:r>
        <w:rPr>
          <w:rFonts w:eastAsia="方正仿宋_GBK" w:hint="eastAsia"/>
          <w:sz w:val="33"/>
          <w:szCs w:val="33"/>
        </w:rPr>
        <w:t>；农林水支出1.44万元，占0.06 %;住房保障支出98.59万元，占4.33</w:t>
      </w:r>
      <w:r>
        <w:rPr>
          <w:rFonts w:eastAsia="方正仿宋_GBK"/>
          <w:sz w:val="33"/>
          <w:szCs w:val="33"/>
        </w:rPr>
        <w:t>%</w:t>
      </w:r>
      <w:r>
        <w:rPr>
          <w:rFonts w:eastAsia="方正仿宋_GBK" w:hint="eastAsia"/>
          <w:sz w:val="33"/>
          <w:szCs w:val="33"/>
        </w:rPr>
        <w:t>。</w:t>
      </w:r>
    </w:p>
    <w:p>
      <w:pPr>
        <w:pStyle w:val="15"/>
      </w:pPr>
      <w:r>
        <w:drawing>
          <wp:inline distT="0" distB="0" distL="114300" distR="114300">
            <wp:extent cx="4826000" cy="2743200"/>
            <wp:effectExtent l="0" t="0" r="0" b="0"/>
            <wp:docPr id="8" name="图表 6"/>
            <wp:cNvGraphicFramePr>
              <a:graphicFrameLocks noChangeAspect="0"/>
            </wp:cNvGraphicFramePr>
            <a:graphic>
              <a:graphicData uri="http://schemas.openxmlformats.org/drawingml/2006/chart">
                <c:chart xmlns:c="http://schemas.openxmlformats.org/drawingml/2006/chart" r:id="rId9"/>
              </a:graphicData>
            </a:graphic>
          </wp:inline>
        </w:drawing>
      </w:r>
    </w:p>
    <w:p/>
    <w:p>
      <w:pPr>
        <w:spacing w:line="600" w:lineRule="exact"/>
        <w:ind w:firstLineChars="200" w:firstLine="660"/>
        <w:outlineLvl w:val="2"/>
        <w:rPr>
          <w:rFonts w:ascii="方正楷体_GBK" w:eastAsia="方正楷体_GBK"/>
          <w:b/>
          <w:sz w:val="33"/>
          <w:szCs w:val="33"/>
        </w:rPr>
      </w:pPr>
      <w:bookmarkStart w:id="74" w:name="_Toc15377212"/>
      <w:bookmarkStart w:id="75" w:name="_Toc176532142"/>
      <w:bookmarkStart w:id="76" w:name="_Toc176800669"/>
      <w:r>
        <w:rPr>
          <w:rFonts w:ascii="方正楷体_GBK" w:eastAsia="方正楷体_GBK" w:hint="eastAsia"/>
          <w:b/>
          <w:sz w:val="33"/>
          <w:szCs w:val="33"/>
        </w:rPr>
        <w:t>（三）一般公共预算财政拨款支出决算具体情况</w:t>
      </w:r>
      <w:bookmarkEnd w:id="74"/>
      <w:bookmarkEnd w:id="75"/>
      <w:bookmarkEnd w:id="76"/>
    </w:p>
    <w:p>
      <w:pPr>
        <w:spacing w:line="600" w:lineRule="exact"/>
        <w:ind w:firstLineChars="200" w:firstLine="660"/>
        <w:outlineLvl w:val="2"/>
        <w:rPr>
          <w:rFonts w:eastAsia="方正仿宋_GBK"/>
          <w:sz w:val="33"/>
          <w:szCs w:val="33"/>
        </w:rPr>
      </w:pPr>
      <w:bookmarkStart w:id="77" w:name="_Toc15378460"/>
      <w:bookmarkStart w:id="78" w:name="_Toc15377444"/>
      <w:bookmarkStart w:id="79" w:name="_Toc15377213"/>
      <w:bookmarkStart w:id="80" w:name="_Toc176532143"/>
      <w:bookmarkStart w:id="81" w:name="_Toc176800670"/>
      <w:r>
        <w:rPr>
          <w:rFonts w:eastAsia="方正仿宋_GBK" w:hint="eastAsia"/>
          <w:sz w:val="33"/>
          <w:szCs w:val="33"/>
        </w:rPr>
        <w:t>2023年度一般公共预算支出决算数为</w:t>
      </w:r>
      <w:r>
        <w:rPr>
          <w:rFonts w:eastAsia="方正仿宋_GBK"/>
          <w:sz w:val="33"/>
          <w:szCs w:val="33"/>
        </w:rPr>
        <w:t>2277.79</w:t>
      </w:r>
      <w:r>
        <w:rPr>
          <w:rFonts w:eastAsia="方正仿宋_GBK" w:hint="eastAsia"/>
          <w:sz w:val="33"/>
          <w:szCs w:val="33"/>
        </w:rPr>
        <w:t>，</w:t>
      </w:r>
      <w:r>
        <w:rPr>
          <w:rFonts w:eastAsia="方正仿宋_GBK" w:hint="eastAsia"/>
          <w:b/>
          <w:sz w:val="33"/>
          <w:szCs w:val="33"/>
        </w:rPr>
        <w:t>完成预算100</w:t>
      </w:r>
      <w:r>
        <w:rPr>
          <w:rFonts w:eastAsia="方正仿宋_GBK"/>
          <w:b/>
          <w:sz w:val="33"/>
          <w:szCs w:val="33"/>
        </w:rPr>
        <w:t>%</w:t>
      </w:r>
      <w:r>
        <w:rPr>
          <w:rFonts w:eastAsia="方正仿宋_GBK" w:hint="eastAsia"/>
          <w:b/>
          <w:sz w:val="33"/>
          <w:szCs w:val="33"/>
        </w:rPr>
        <w:t>。其中：</w:t>
      </w:r>
      <w:bookmarkEnd w:id="77"/>
      <w:bookmarkEnd w:id="78"/>
      <w:bookmarkEnd w:id="79"/>
      <w:bookmarkEnd w:id="80"/>
      <w:bookmarkEnd w:id="81"/>
    </w:p>
    <w:p>
      <w:pPr>
        <w:spacing w:line="600" w:lineRule="exact"/>
        <w:ind w:firstLineChars="200" w:firstLine="660"/>
        <w:outlineLvl w:val="2"/>
        <w:rPr>
          <w:rFonts w:eastAsia="方正仿宋_GBK"/>
          <w:sz w:val="33"/>
          <w:szCs w:val="33"/>
        </w:rPr>
      </w:pPr>
      <w:bookmarkStart w:id="82" w:name="_Toc176800671"/>
      <w:bookmarkStart w:id="83" w:name="_Toc176532144"/>
      <w:r>
        <w:rPr>
          <w:rFonts w:eastAsia="方正仿宋_GBK"/>
          <w:b/>
          <w:sz w:val="33"/>
          <w:szCs w:val="33"/>
        </w:rPr>
        <w:t>1.</w:t>
      </w:r>
      <w:r>
        <w:rPr>
          <w:rFonts w:eastAsia="方正仿宋_GBK" w:hint="eastAsia"/>
          <w:b/>
          <w:sz w:val="33"/>
          <w:szCs w:val="33"/>
        </w:rPr>
        <w:t>一般公共服务（类）201（款）02（项）01行政运行</w:t>
      </w:r>
      <w:r>
        <w:rPr>
          <w:rFonts w:eastAsia="方正仿宋_GBK"/>
          <w:b/>
          <w:sz w:val="33"/>
          <w:szCs w:val="33"/>
        </w:rPr>
        <w:t>:</w:t>
      </w:r>
      <w:r>
        <w:rPr>
          <w:rFonts w:eastAsia="方正仿宋_GBK" w:hint="eastAsia"/>
          <w:sz w:val="33"/>
          <w:szCs w:val="33"/>
        </w:rPr>
        <w:t>支出决算为1021.54万元，完成预算100</w:t>
      </w:r>
      <w:r>
        <w:rPr>
          <w:rFonts w:eastAsia="方正仿宋_GBK"/>
          <w:sz w:val="33"/>
          <w:szCs w:val="33"/>
        </w:rPr>
        <w:t>%</w:t>
      </w:r>
      <w:r>
        <w:rPr>
          <w:rFonts w:eastAsia="方正仿宋_GBK" w:hint="eastAsia"/>
          <w:sz w:val="33"/>
          <w:szCs w:val="33"/>
        </w:rPr>
        <w:t>；</w:t>
      </w:r>
      <w:r>
        <w:rPr>
          <w:rFonts w:eastAsia="方正仿宋_GBK"/>
          <w:b/>
          <w:sz w:val="33"/>
          <w:szCs w:val="33"/>
        </w:rPr>
        <w:t>一般公共服务（类）201（款）02（项）02一般行政管理事务：</w:t>
      </w:r>
      <w:r>
        <w:rPr>
          <w:rFonts w:eastAsia="方正仿宋_GBK" w:hint="eastAsia"/>
          <w:sz w:val="33"/>
          <w:szCs w:val="33"/>
        </w:rPr>
        <w:t>支出决算</w:t>
      </w:r>
      <w:r>
        <w:rPr>
          <w:rFonts w:eastAsia="方正仿宋_GBK"/>
          <w:sz w:val="33"/>
          <w:szCs w:val="33"/>
        </w:rPr>
        <w:t>为</w:t>
      </w:r>
      <w:r>
        <w:rPr>
          <w:rFonts w:eastAsia="方正仿宋_GBK" w:hint="eastAsia"/>
          <w:sz w:val="33"/>
          <w:szCs w:val="33"/>
        </w:rPr>
        <w:t>142.1</w:t>
      </w:r>
      <w:r>
        <w:rPr>
          <w:rFonts w:eastAsia="方正仿宋_GBK"/>
          <w:sz w:val="33"/>
          <w:szCs w:val="33"/>
        </w:rPr>
        <w:t>万元，完成预算100%；</w:t>
      </w:r>
      <w:r>
        <w:rPr>
          <w:rFonts w:eastAsia="方正仿宋_GBK"/>
          <w:b/>
          <w:sz w:val="33"/>
          <w:szCs w:val="33"/>
        </w:rPr>
        <w:t>一般公共服务（类）201（款）02（项）04政协会议：</w:t>
      </w:r>
      <w:r>
        <w:rPr>
          <w:rFonts w:eastAsia="方正仿宋_GBK" w:hint="eastAsia"/>
          <w:sz w:val="33"/>
          <w:szCs w:val="33"/>
        </w:rPr>
        <w:t>支出决算</w:t>
      </w:r>
      <w:r>
        <w:rPr>
          <w:rFonts w:eastAsia="方正仿宋_GBK"/>
          <w:sz w:val="33"/>
          <w:szCs w:val="33"/>
        </w:rPr>
        <w:t>为</w:t>
      </w:r>
      <w:r>
        <w:rPr>
          <w:rFonts w:eastAsia="方正仿宋_GBK" w:hint="eastAsia"/>
          <w:sz w:val="33"/>
          <w:szCs w:val="33"/>
        </w:rPr>
        <w:t>95.63</w:t>
      </w:r>
      <w:r>
        <w:rPr>
          <w:rFonts w:eastAsia="方正仿宋_GBK"/>
          <w:sz w:val="33"/>
          <w:szCs w:val="33"/>
        </w:rPr>
        <w:t>万元，完成预算100%；</w:t>
      </w:r>
      <w:r>
        <w:rPr>
          <w:rFonts w:eastAsia="方正仿宋_GBK"/>
          <w:b/>
          <w:sz w:val="33"/>
          <w:szCs w:val="33"/>
        </w:rPr>
        <w:t>一般公共服务（类）201（款）02（项）</w:t>
      </w:r>
      <w:r>
        <w:rPr>
          <w:rFonts w:eastAsia="方正仿宋_GBK" w:hint="eastAsia"/>
          <w:b/>
          <w:sz w:val="33"/>
          <w:szCs w:val="33"/>
        </w:rPr>
        <w:t>05委员视察：</w:t>
      </w:r>
      <w:r>
        <w:rPr>
          <w:rFonts w:eastAsia="方正仿宋_GBK" w:hint="eastAsia"/>
          <w:sz w:val="33"/>
          <w:szCs w:val="33"/>
        </w:rPr>
        <w:t>支出决算</w:t>
      </w:r>
      <w:r>
        <w:rPr>
          <w:rFonts w:eastAsia="方正仿宋_GBK"/>
          <w:sz w:val="33"/>
          <w:szCs w:val="33"/>
        </w:rPr>
        <w:t>为</w:t>
      </w:r>
      <w:r>
        <w:rPr>
          <w:rFonts w:eastAsia="方正仿宋_GBK" w:hint="eastAsia"/>
          <w:sz w:val="33"/>
          <w:szCs w:val="33"/>
        </w:rPr>
        <w:t>105.04</w:t>
      </w:r>
      <w:r>
        <w:rPr>
          <w:rFonts w:eastAsia="方正仿宋_GBK"/>
          <w:sz w:val="33"/>
          <w:szCs w:val="33"/>
        </w:rPr>
        <w:t>万元，完成预算100%；</w:t>
      </w:r>
      <w:r>
        <w:rPr>
          <w:rFonts w:eastAsia="方正仿宋_GBK"/>
          <w:b/>
          <w:sz w:val="33"/>
          <w:szCs w:val="33"/>
        </w:rPr>
        <w:t>一般公共服务（类）201（款）02（项）50事业运行：</w:t>
      </w:r>
      <w:r>
        <w:rPr>
          <w:rFonts w:eastAsia="方正仿宋_GBK" w:hint="eastAsia"/>
          <w:sz w:val="33"/>
          <w:szCs w:val="33"/>
        </w:rPr>
        <w:t>支出决算</w:t>
      </w:r>
      <w:r>
        <w:rPr>
          <w:rFonts w:eastAsia="方正仿宋_GBK"/>
          <w:sz w:val="33"/>
          <w:szCs w:val="33"/>
        </w:rPr>
        <w:t>为</w:t>
      </w:r>
      <w:r>
        <w:rPr>
          <w:rFonts w:eastAsia="方正仿宋_GBK" w:hint="eastAsia"/>
          <w:sz w:val="33"/>
          <w:szCs w:val="33"/>
        </w:rPr>
        <w:t>91.78</w:t>
      </w:r>
      <w:r>
        <w:rPr>
          <w:rFonts w:eastAsia="方正仿宋_GBK"/>
          <w:sz w:val="33"/>
          <w:szCs w:val="33"/>
        </w:rPr>
        <w:t>万元，完成预算100%；</w:t>
      </w:r>
      <w:r>
        <w:rPr>
          <w:rFonts w:eastAsia="方正仿宋_GBK"/>
          <w:b/>
          <w:sz w:val="33"/>
          <w:szCs w:val="33"/>
        </w:rPr>
        <w:t>一般公共服务（类）201（款）11（项）05 派驻派出机构：</w:t>
      </w:r>
      <w:r>
        <w:rPr>
          <w:rFonts w:eastAsia="方正仿宋_GBK" w:hint="eastAsia"/>
          <w:sz w:val="33"/>
          <w:szCs w:val="33"/>
        </w:rPr>
        <w:t>支出决算</w:t>
      </w:r>
      <w:r>
        <w:rPr>
          <w:rFonts w:eastAsia="方正仿宋_GBK"/>
          <w:sz w:val="33"/>
          <w:szCs w:val="33"/>
        </w:rPr>
        <w:t>为</w:t>
      </w:r>
      <w:r>
        <w:rPr>
          <w:rFonts w:eastAsia="方正仿宋_GBK" w:hint="eastAsia"/>
          <w:sz w:val="33"/>
          <w:szCs w:val="33"/>
        </w:rPr>
        <w:t>3.37</w:t>
      </w:r>
      <w:r>
        <w:rPr>
          <w:rFonts w:eastAsia="方正仿宋_GBK"/>
          <w:sz w:val="33"/>
          <w:szCs w:val="33"/>
        </w:rPr>
        <w:t>万元，完成预算100%；</w:t>
      </w:r>
      <w:r>
        <w:rPr>
          <w:rFonts w:eastAsia="方正仿宋_GBK"/>
          <w:b/>
          <w:sz w:val="33"/>
          <w:szCs w:val="33"/>
        </w:rPr>
        <w:t>一般公共服务（类）201（款）32（项）99其他组织事务支出：</w:t>
      </w:r>
      <w:r>
        <w:rPr>
          <w:rFonts w:eastAsia="方正仿宋_GBK" w:hint="eastAsia"/>
          <w:sz w:val="33"/>
          <w:szCs w:val="33"/>
        </w:rPr>
        <w:t>支出决算</w:t>
      </w:r>
      <w:r>
        <w:rPr>
          <w:rFonts w:eastAsia="方正仿宋_GBK"/>
          <w:sz w:val="33"/>
          <w:szCs w:val="33"/>
        </w:rPr>
        <w:t>为</w:t>
      </w:r>
      <w:r>
        <w:rPr>
          <w:rFonts w:eastAsia="方正仿宋_GBK" w:hint="eastAsia"/>
          <w:sz w:val="33"/>
          <w:szCs w:val="33"/>
        </w:rPr>
        <w:t>1.05</w:t>
      </w:r>
      <w:r>
        <w:rPr>
          <w:rFonts w:eastAsia="方正仿宋_GBK"/>
          <w:sz w:val="33"/>
          <w:szCs w:val="33"/>
        </w:rPr>
        <w:t>万元，完成预算100%。</w:t>
      </w:r>
      <w:bookmarkEnd w:id="82"/>
      <w:bookmarkEnd w:id="83"/>
    </w:p>
    <w:p>
      <w:pPr>
        <w:spacing w:line="600" w:lineRule="exact"/>
        <w:ind w:firstLineChars="200" w:firstLine="660"/>
        <w:rPr>
          <w:rFonts w:eastAsia="方正仿宋_GBK"/>
          <w:sz w:val="33"/>
          <w:szCs w:val="33"/>
        </w:rPr>
      </w:pPr>
      <w:r>
        <w:rPr>
          <w:rFonts w:eastAsia="方正仿宋_GBK"/>
          <w:b/>
          <w:sz w:val="33"/>
          <w:szCs w:val="33"/>
        </w:rPr>
        <w:t xml:space="preserve"> 2.</w:t>
      </w:r>
      <w:r>
        <w:rPr>
          <w:rFonts w:eastAsia="方正仿宋_GBK"/>
          <w:sz w:val="33"/>
          <w:szCs w:val="33"/>
        </w:rPr>
        <w:t xml:space="preserve"> </w:t>
      </w:r>
      <w:r>
        <w:rPr>
          <w:rFonts w:eastAsia="方正仿宋_GBK" w:hint="eastAsia"/>
          <w:b/>
          <w:sz w:val="33"/>
          <w:szCs w:val="33"/>
        </w:rPr>
        <w:t>社会保障和就业（类）</w:t>
      </w:r>
      <w:r>
        <w:rPr>
          <w:rFonts w:eastAsia="方正仿宋_GBK"/>
          <w:sz w:val="33"/>
          <w:szCs w:val="33"/>
        </w:rPr>
        <w:t>208</w:t>
      </w:r>
      <w:r>
        <w:rPr>
          <w:rFonts w:eastAsia="方正仿宋_GBK"/>
          <w:b/>
          <w:sz w:val="33"/>
          <w:szCs w:val="33"/>
        </w:rPr>
        <w:t>（款）05（项）01行政单位离退休：</w:t>
      </w:r>
      <w:r>
        <w:rPr>
          <w:rFonts w:eastAsia="方正仿宋_GBK" w:hint="eastAsia"/>
          <w:sz w:val="33"/>
          <w:szCs w:val="33"/>
        </w:rPr>
        <w:t>支出决算</w:t>
      </w:r>
      <w:r>
        <w:rPr>
          <w:rFonts w:eastAsia="方正仿宋_GBK"/>
          <w:sz w:val="33"/>
          <w:szCs w:val="33"/>
        </w:rPr>
        <w:t>为</w:t>
      </w:r>
      <w:r>
        <w:rPr>
          <w:rFonts w:eastAsia="方正仿宋_GBK" w:hint="eastAsia"/>
          <w:sz w:val="33"/>
          <w:szCs w:val="33"/>
        </w:rPr>
        <w:t>388.2</w:t>
      </w:r>
      <w:r>
        <w:rPr>
          <w:rFonts w:eastAsia="方正仿宋_GBK"/>
          <w:sz w:val="33"/>
          <w:szCs w:val="33"/>
        </w:rPr>
        <w:t>万元，完成预算100%</w:t>
      </w:r>
      <w:r>
        <w:rPr>
          <w:rFonts w:eastAsia="方正仿宋_GBK" w:hint="eastAsia"/>
          <w:sz w:val="33"/>
          <w:szCs w:val="33"/>
        </w:rPr>
        <w:t>；</w:t>
      </w:r>
      <w:r>
        <w:rPr>
          <w:rFonts w:eastAsia="方正仿宋_GBK"/>
          <w:b/>
          <w:sz w:val="33"/>
          <w:szCs w:val="33"/>
        </w:rPr>
        <w:t>社会保障和就业（类）208（款）05（项）05机关事业单位基本养老保险缴费支出：</w:t>
      </w:r>
      <w:r>
        <w:rPr>
          <w:rFonts w:eastAsia="方正仿宋_GBK" w:hint="eastAsia"/>
          <w:sz w:val="33"/>
          <w:szCs w:val="33"/>
        </w:rPr>
        <w:t>支出决算</w:t>
      </w:r>
      <w:r>
        <w:rPr>
          <w:rFonts w:eastAsia="方正仿宋_GBK"/>
          <w:sz w:val="33"/>
          <w:szCs w:val="33"/>
        </w:rPr>
        <w:t>为</w:t>
      </w:r>
      <w:r>
        <w:rPr>
          <w:rFonts w:eastAsia="方正仿宋_GBK" w:hint="eastAsia"/>
          <w:sz w:val="33"/>
          <w:szCs w:val="33"/>
        </w:rPr>
        <w:t>140.07</w:t>
      </w:r>
      <w:r>
        <w:rPr>
          <w:rFonts w:eastAsia="方正仿宋_GBK"/>
          <w:sz w:val="33"/>
          <w:szCs w:val="33"/>
        </w:rPr>
        <w:t>万元，完成预算100%；</w:t>
      </w:r>
      <w:r>
        <w:rPr>
          <w:rFonts w:eastAsia="方正仿宋_GBK"/>
          <w:b/>
          <w:sz w:val="33"/>
          <w:szCs w:val="33"/>
        </w:rPr>
        <w:t>社会保障和就业（类）208（款）08（项）01死亡抚恤：</w:t>
      </w:r>
      <w:r>
        <w:rPr>
          <w:rFonts w:eastAsia="方正仿宋_GBK" w:hint="eastAsia"/>
          <w:sz w:val="33"/>
          <w:szCs w:val="33"/>
        </w:rPr>
        <w:t>支出决算</w:t>
      </w:r>
      <w:r>
        <w:rPr>
          <w:rFonts w:eastAsia="方正仿宋_GBK"/>
          <w:sz w:val="33"/>
          <w:szCs w:val="33"/>
        </w:rPr>
        <w:t>为</w:t>
      </w:r>
      <w:r>
        <w:rPr>
          <w:rFonts w:eastAsia="方正仿宋_GBK" w:hint="eastAsia"/>
          <w:sz w:val="33"/>
          <w:szCs w:val="33"/>
        </w:rPr>
        <w:t>104.05</w:t>
      </w:r>
      <w:r>
        <w:rPr>
          <w:rFonts w:eastAsia="方正仿宋_GBK"/>
          <w:sz w:val="33"/>
          <w:szCs w:val="33"/>
        </w:rPr>
        <w:t>万元，完成预算100%；</w:t>
      </w:r>
      <w:r>
        <w:rPr>
          <w:rFonts w:eastAsia="方正仿宋_GBK"/>
          <w:b/>
          <w:sz w:val="33"/>
          <w:szCs w:val="33"/>
        </w:rPr>
        <w:t>社会保障和就业（类）208（款）10（项）01儿童福利:</w:t>
      </w:r>
      <w:r>
        <w:rPr>
          <w:rFonts w:eastAsia="方正仿宋_GBK" w:hint="eastAsia"/>
          <w:sz w:val="33"/>
          <w:szCs w:val="33"/>
        </w:rPr>
        <w:t xml:space="preserve"> 支出决算</w:t>
      </w:r>
      <w:r>
        <w:rPr>
          <w:rFonts w:eastAsia="方正仿宋_GBK"/>
          <w:sz w:val="33"/>
          <w:szCs w:val="33"/>
        </w:rPr>
        <w:t>为</w:t>
      </w:r>
      <w:r>
        <w:rPr>
          <w:rFonts w:eastAsia="方正仿宋_GBK" w:hint="eastAsia"/>
          <w:sz w:val="33"/>
          <w:szCs w:val="33"/>
        </w:rPr>
        <w:t>0.33</w:t>
      </w:r>
      <w:r>
        <w:rPr>
          <w:rFonts w:eastAsia="方正仿宋_GBK"/>
          <w:sz w:val="33"/>
          <w:szCs w:val="33"/>
        </w:rPr>
        <w:t>万元，完成预算100%</w:t>
      </w:r>
      <w:r>
        <w:rPr>
          <w:rFonts w:eastAsia="方正仿宋_GBK" w:hint="eastAsia"/>
          <w:sz w:val="33"/>
          <w:szCs w:val="33"/>
        </w:rPr>
        <w:t>。</w:t>
      </w:r>
    </w:p>
    <w:p>
      <w:pPr>
        <w:spacing w:line="600" w:lineRule="exact"/>
        <w:ind w:firstLineChars="200" w:firstLine="660"/>
        <w:rPr>
          <w:rFonts w:eastAsia="方正仿宋_GBK"/>
          <w:sz w:val="33"/>
          <w:szCs w:val="33"/>
        </w:rPr>
      </w:pPr>
      <w:r>
        <w:rPr>
          <w:rFonts w:eastAsia="方正仿宋_GBK" w:hint="eastAsia"/>
          <w:b/>
          <w:sz w:val="33"/>
          <w:szCs w:val="33"/>
        </w:rPr>
        <w:t>3.卫生健康（类）210（款）11（项）01行政单位医疗:</w:t>
      </w:r>
      <w:r>
        <w:rPr>
          <w:rFonts w:eastAsia="方正仿宋_GBK" w:hint="eastAsia"/>
          <w:sz w:val="33"/>
          <w:szCs w:val="33"/>
        </w:rPr>
        <w:t>支出决算为62.58万元，完成预算100</w:t>
      </w:r>
      <w:r>
        <w:rPr>
          <w:rFonts w:eastAsia="方正仿宋_GBK"/>
          <w:sz w:val="33"/>
          <w:szCs w:val="33"/>
        </w:rPr>
        <w:t>%</w:t>
      </w:r>
      <w:r>
        <w:rPr>
          <w:rFonts w:eastAsia="方正仿宋_GBK" w:hint="eastAsia"/>
          <w:sz w:val="33"/>
          <w:szCs w:val="33"/>
        </w:rPr>
        <w:t>；卫生健康</w:t>
      </w:r>
      <w:r>
        <w:rPr>
          <w:rFonts w:eastAsia="方正仿宋_GBK" w:hint="eastAsia"/>
          <w:b/>
          <w:sz w:val="33"/>
          <w:szCs w:val="33"/>
        </w:rPr>
        <w:t>（类）210（款）11（项）02事业单位医疗</w:t>
      </w:r>
      <w:r>
        <w:rPr>
          <w:rFonts w:eastAsia="方正仿宋_GBK"/>
          <w:b/>
          <w:sz w:val="33"/>
          <w:szCs w:val="33"/>
        </w:rPr>
        <w:t>:</w:t>
      </w:r>
      <w:r>
        <w:rPr>
          <w:rFonts w:eastAsia="方正仿宋_GBK" w:hint="eastAsia"/>
          <w:sz w:val="33"/>
          <w:szCs w:val="33"/>
        </w:rPr>
        <w:t>支出决算为6.06万元，完成预算100</w:t>
      </w:r>
      <w:r>
        <w:rPr>
          <w:rFonts w:eastAsia="方正仿宋_GBK"/>
          <w:sz w:val="33"/>
          <w:szCs w:val="33"/>
        </w:rPr>
        <w:t>%</w:t>
      </w:r>
      <w:r>
        <w:rPr>
          <w:rFonts w:eastAsia="方正仿宋_GBK" w:hint="eastAsia"/>
          <w:sz w:val="33"/>
          <w:szCs w:val="33"/>
        </w:rPr>
        <w:t>；卫生健康</w:t>
      </w:r>
      <w:r>
        <w:rPr>
          <w:rFonts w:eastAsia="方正仿宋_GBK" w:hint="eastAsia"/>
          <w:b/>
          <w:sz w:val="33"/>
          <w:szCs w:val="33"/>
        </w:rPr>
        <w:t>（类）210（款）11（项）03公务员医疗补助</w:t>
      </w:r>
      <w:r>
        <w:rPr>
          <w:rFonts w:eastAsia="方正仿宋_GBK"/>
          <w:b/>
          <w:sz w:val="33"/>
          <w:szCs w:val="33"/>
        </w:rPr>
        <w:t>:</w:t>
      </w:r>
      <w:r>
        <w:rPr>
          <w:rFonts w:eastAsia="方正仿宋_GBK" w:hint="eastAsia"/>
          <w:sz w:val="33"/>
          <w:szCs w:val="33"/>
        </w:rPr>
        <w:t>支出决算为6.32万元，完成预算100</w:t>
      </w:r>
      <w:r>
        <w:rPr>
          <w:rFonts w:eastAsia="方正仿宋_GBK"/>
          <w:sz w:val="33"/>
          <w:szCs w:val="33"/>
        </w:rPr>
        <w:t>%</w:t>
      </w:r>
      <w:r>
        <w:rPr>
          <w:rFonts w:eastAsia="方正仿宋_GBK" w:hint="eastAsia"/>
          <w:sz w:val="33"/>
          <w:szCs w:val="33"/>
        </w:rPr>
        <w:t>。</w:t>
      </w:r>
    </w:p>
    <w:p>
      <w:pPr>
        <w:spacing w:line="600" w:lineRule="exact"/>
        <w:ind w:firstLineChars="200" w:firstLine="660"/>
        <w:rPr>
          <w:rFonts w:eastAsia="方正仿宋_GBK"/>
          <w:sz w:val="33"/>
          <w:szCs w:val="33"/>
        </w:rPr>
      </w:pPr>
      <w:r>
        <w:rPr>
          <w:rFonts w:eastAsia="方正仿宋_GBK" w:hint="eastAsia"/>
          <w:b/>
          <w:sz w:val="33"/>
          <w:szCs w:val="33"/>
        </w:rPr>
        <w:t>4.农林水支出</w:t>
      </w:r>
      <w:r>
        <w:rPr>
          <w:rFonts w:eastAsia="方正仿宋_GBK" w:hint="eastAsia"/>
          <w:sz w:val="33"/>
          <w:szCs w:val="33"/>
        </w:rPr>
        <w:t>（</w:t>
      </w:r>
      <w:r>
        <w:rPr>
          <w:rFonts w:eastAsia="方正仿宋_GBK" w:hint="eastAsia"/>
          <w:b/>
          <w:sz w:val="33"/>
          <w:szCs w:val="33"/>
        </w:rPr>
        <w:t>类）213（款）01（项）99其他农业农村支出</w:t>
      </w:r>
      <w:r>
        <w:rPr>
          <w:rFonts w:eastAsia="方正仿宋_GBK"/>
          <w:b/>
          <w:sz w:val="33"/>
          <w:szCs w:val="33"/>
        </w:rPr>
        <w:t>:</w:t>
      </w:r>
      <w:r>
        <w:rPr>
          <w:rFonts w:eastAsia="方正仿宋_GBK" w:hint="eastAsia"/>
          <w:sz w:val="33"/>
          <w:szCs w:val="33"/>
        </w:rPr>
        <w:t xml:space="preserve"> 支出决算为1.44万元，完成预算100</w:t>
      </w:r>
      <w:r>
        <w:rPr>
          <w:rFonts w:eastAsia="方正仿宋_GBK"/>
          <w:sz w:val="33"/>
          <w:szCs w:val="33"/>
        </w:rPr>
        <w:t>%</w:t>
      </w:r>
      <w:r>
        <w:rPr>
          <w:rFonts w:eastAsia="方正仿宋_GBK" w:hint="eastAsia"/>
          <w:sz w:val="33"/>
          <w:szCs w:val="33"/>
        </w:rPr>
        <w:t>。</w:t>
      </w:r>
    </w:p>
    <w:p>
      <w:pPr>
        <w:spacing w:line="600" w:lineRule="exact"/>
        <w:ind w:firstLineChars="200" w:firstLine="660"/>
        <w:outlineLvl w:val="2"/>
        <w:rPr>
          <w:rFonts w:eastAsia="方正仿宋_GBK"/>
          <w:sz w:val="33"/>
          <w:szCs w:val="33"/>
        </w:rPr>
      </w:pPr>
      <w:bookmarkStart w:id="84" w:name="_Toc176800672"/>
      <w:bookmarkStart w:id="85" w:name="_Toc176532145"/>
      <w:r>
        <w:rPr>
          <w:rFonts w:eastAsia="方正仿宋_GBK" w:hint="eastAsia"/>
          <w:b/>
          <w:sz w:val="33"/>
          <w:szCs w:val="33"/>
        </w:rPr>
        <w:t xml:space="preserve">5.住房保障支出（类）221（款）02（项）01住房公积金: </w:t>
      </w:r>
      <w:r>
        <w:rPr>
          <w:rFonts w:eastAsia="方正仿宋_GBK" w:hint="eastAsia"/>
          <w:sz w:val="33"/>
          <w:szCs w:val="33"/>
        </w:rPr>
        <w:t>支出决算为98.59万元，完成预算100</w:t>
      </w:r>
      <w:r>
        <w:rPr>
          <w:rFonts w:eastAsia="方正仿宋_GBK"/>
          <w:sz w:val="33"/>
          <w:szCs w:val="33"/>
        </w:rPr>
        <w:t>%</w:t>
      </w:r>
      <w:r>
        <w:rPr>
          <w:rFonts w:eastAsia="方正仿宋_GBK" w:hint="eastAsia"/>
          <w:sz w:val="33"/>
          <w:szCs w:val="33"/>
        </w:rPr>
        <w:t>。</w:t>
      </w:r>
      <w:bookmarkEnd w:id="84"/>
      <w:bookmarkEnd w:id="85"/>
    </w:p>
    <w:p>
      <w:pPr>
        <w:spacing w:line="600" w:lineRule="exact"/>
        <w:ind w:left="640"/>
        <w:outlineLvl w:val="1"/>
        <w:rPr>
          <w:rFonts w:ascii="方正黑体_GBK" w:eastAsia="方正黑体_GBK"/>
          <w:b/>
          <w:bCs/>
          <w:sz w:val="33"/>
          <w:szCs w:val="33"/>
        </w:rPr>
      </w:pPr>
      <w:bookmarkStart w:id="86" w:name="_Toc176532146"/>
      <w:bookmarkStart w:id="87" w:name="_Toc176800673"/>
      <w:bookmarkEnd w:id="72"/>
      <w:bookmarkEnd w:id="73"/>
      <w:r>
        <w:rPr>
          <w:rFonts w:ascii="方正黑体_GBK" w:eastAsia="方正黑体_GBK" w:hint="eastAsia"/>
          <w:sz w:val="33"/>
          <w:szCs w:val="33"/>
        </w:rPr>
        <w:t>六、一</w:t>
      </w:r>
      <w:r>
        <w:rPr>
          <w:rFonts w:ascii="方正黑体_GBK" w:eastAsia="方正黑体_GBK" w:hint="eastAsia"/>
          <w:bCs/>
          <w:sz w:val="33"/>
          <w:szCs w:val="33"/>
        </w:rPr>
        <w:t>般公共预算财政拨款基本支出决算情况说明</w:t>
      </w:r>
      <w:bookmarkEnd w:id="86"/>
      <w:bookmarkEnd w:id="87"/>
      <w:r>
        <w:rPr>
          <w:rFonts w:ascii="方正黑体_GBK" w:eastAsia="方正黑体_GBK"/>
          <w:bCs/>
          <w:sz w:val="33"/>
          <w:szCs w:val="33"/>
        </w:rPr>
        <w:tab/>
      </w:r>
    </w:p>
    <w:p>
      <w:pPr>
        <w:spacing w:line="600" w:lineRule="exact"/>
        <w:ind w:firstLine="645"/>
        <w:rPr>
          <w:rFonts w:eastAsia="方正仿宋_GBK"/>
          <w:kern w:val="0"/>
          <w:sz w:val="33"/>
          <w:szCs w:val="33"/>
        </w:rPr>
      </w:pPr>
      <w:r>
        <w:rPr>
          <w:rFonts w:eastAsia="方正仿宋_GBK" w:hint="eastAsia"/>
          <w:kern w:val="0"/>
          <w:sz w:val="33"/>
          <w:szCs w:val="33"/>
        </w:rPr>
        <w:t>2023年度一般公共预算财政拨款基本支出</w:t>
      </w:r>
      <w:r>
        <w:rPr>
          <w:rFonts w:eastAsia="方正仿宋_GBK"/>
          <w:kern w:val="0"/>
          <w:sz w:val="33"/>
          <w:szCs w:val="33"/>
        </w:rPr>
        <w:t>1826.49</w:t>
      </w:r>
      <w:r>
        <w:rPr>
          <w:rFonts w:eastAsia="方正仿宋_GBK" w:hint="eastAsia"/>
          <w:kern w:val="0"/>
          <w:sz w:val="33"/>
          <w:szCs w:val="33"/>
        </w:rPr>
        <w:t>万元，其中：</w:t>
      </w:r>
    </w:p>
    <w:p>
      <w:pPr>
        <w:spacing w:line="600" w:lineRule="exact"/>
        <w:ind w:firstLine="645"/>
        <w:rPr>
          <w:rFonts w:eastAsia="方正仿宋_GBK"/>
          <w:kern w:val="0"/>
          <w:sz w:val="33"/>
          <w:szCs w:val="33"/>
        </w:rPr>
      </w:pPr>
      <w:r>
        <w:rPr>
          <w:rFonts w:eastAsia="方正仿宋_GBK" w:hint="eastAsia"/>
          <w:kern w:val="0"/>
          <w:sz w:val="33"/>
          <w:szCs w:val="33"/>
        </w:rPr>
        <w:t>人员经费</w:t>
      </w:r>
      <w:r>
        <w:rPr>
          <w:rFonts w:eastAsia="方正仿宋_GBK"/>
          <w:kern w:val="0"/>
          <w:sz w:val="33"/>
          <w:szCs w:val="33"/>
        </w:rPr>
        <w:t>1576.96</w:t>
      </w:r>
      <w:r>
        <w:rPr>
          <w:rFonts w:eastAsia="方正仿宋_GBK" w:hint="eastAsia"/>
          <w:kern w:val="0"/>
          <w:sz w:val="33"/>
          <w:szCs w:val="33"/>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sz w:val="32"/>
          <w:szCs w:val="32"/>
        </w:rPr>
        <w:br/>
      </w:r>
      <w:r>
        <w:rPr>
          <w:rFonts w:ascii="仿宋" w:eastAsia="仿宋" w:hint="eastAsia"/>
          <w:sz w:val="32"/>
          <w:szCs w:val="32"/>
        </w:rPr>
        <w:t>　　</w:t>
      </w:r>
      <w:r>
        <w:rPr>
          <w:rFonts w:eastAsia="方正仿宋_GBK" w:hint="eastAsia"/>
          <w:kern w:val="0"/>
          <w:sz w:val="33"/>
          <w:szCs w:val="33"/>
        </w:rPr>
        <w:t>公用经费</w:t>
      </w:r>
      <w:r>
        <w:rPr>
          <w:rFonts w:eastAsia="方正仿宋_GBK"/>
          <w:kern w:val="0"/>
          <w:sz w:val="33"/>
          <w:szCs w:val="33"/>
        </w:rPr>
        <w:t>249.52</w:t>
      </w:r>
      <w:r>
        <w:rPr>
          <w:rFonts w:eastAsia="方正仿宋_GBK" w:hint="eastAsia"/>
          <w:kern w:val="0"/>
          <w:sz w:val="33"/>
          <w:szCs w:val="33"/>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left="640"/>
        <w:outlineLvl w:val="1"/>
        <w:rPr>
          <w:rFonts w:ascii="方正黑体_GBK" w:eastAsia="方正黑体_GBK"/>
          <w:bCs/>
          <w:sz w:val="33"/>
          <w:szCs w:val="33"/>
        </w:rPr>
      </w:pPr>
      <w:bookmarkStart w:id="88" w:name="_Toc176532147"/>
      <w:bookmarkStart w:id="89" w:name="_Toc15396609"/>
      <w:bookmarkStart w:id="90" w:name="_Toc176800674"/>
      <w:bookmarkStart w:id="91" w:name="_Toc15377215"/>
      <w:bookmarkStart w:id="92" w:name="_Toc15377218"/>
      <w:bookmarkStart w:id="93" w:name="_Toc15396610"/>
      <w:r>
        <w:rPr>
          <w:rFonts w:ascii="方正黑体_GBK" w:eastAsia="方正黑体_GBK" w:hint="eastAsia"/>
          <w:sz w:val="33"/>
          <w:szCs w:val="33"/>
        </w:rPr>
        <w:t>七、</w:t>
      </w:r>
      <w:r>
        <w:rPr>
          <w:rFonts w:ascii="方正黑体_GBK" w:eastAsia="方正黑体_GBK" w:hint="eastAsia"/>
          <w:bCs/>
          <w:sz w:val="33"/>
          <w:szCs w:val="33"/>
        </w:rPr>
        <w:t>财政拨款</w:t>
      </w:r>
      <w:r>
        <w:rPr>
          <w:rFonts w:ascii="方正黑体_GBK" w:eastAsia="方正黑体_GBK" w:hint="eastAsia"/>
          <w:b/>
          <w:bCs/>
          <w:sz w:val="33"/>
          <w:szCs w:val="33"/>
        </w:rPr>
        <w:t>“</w:t>
      </w:r>
      <w:r>
        <w:rPr>
          <w:rFonts w:ascii="方正黑体_GBK" w:eastAsia="方正黑体_GBK" w:hint="eastAsia"/>
          <w:bCs/>
          <w:sz w:val="33"/>
          <w:szCs w:val="33"/>
        </w:rPr>
        <w:t>三公”经费支出决算情况说明</w:t>
      </w:r>
      <w:bookmarkEnd w:id="88"/>
      <w:bookmarkEnd w:id="89"/>
      <w:bookmarkEnd w:id="90"/>
      <w:bookmarkEnd w:id="91"/>
    </w:p>
    <w:p>
      <w:pPr>
        <w:spacing w:line="600" w:lineRule="exact"/>
        <w:ind w:firstLineChars="200" w:firstLine="660"/>
        <w:outlineLvl w:val="2"/>
        <w:rPr>
          <w:rFonts w:ascii="方正楷体_GBK" w:eastAsia="方正楷体_GBK"/>
          <w:b/>
          <w:sz w:val="33"/>
          <w:szCs w:val="33"/>
        </w:rPr>
      </w:pPr>
      <w:bookmarkStart w:id="94" w:name="_Toc176532148"/>
      <w:bookmarkStart w:id="95" w:name="_Toc176800675"/>
      <w:bookmarkStart w:id="96" w:name="_Toc15377216"/>
      <w:r>
        <w:rPr>
          <w:rFonts w:ascii="方正楷体_GBK" w:eastAsia="方正楷体_GBK" w:hint="eastAsia"/>
          <w:b/>
          <w:sz w:val="33"/>
          <w:szCs w:val="33"/>
        </w:rPr>
        <w:t>（一）“三公”经费财政拨款支出决算总体情况说明</w:t>
      </w:r>
      <w:bookmarkEnd w:id="94"/>
      <w:bookmarkEnd w:id="95"/>
      <w:bookmarkEnd w:id="96"/>
    </w:p>
    <w:p>
      <w:pPr>
        <w:spacing w:line="600" w:lineRule="exact"/>
        <w:ind w:firstLine="640"/>
        <w:rPr>
          <w:rFonts w:eastAsia="方正仿宋_GBK"/>
          <w:kern w:val="0"/>
          <w:sz w:val="33"/>
          <w:szCs w:val="33"/>
        </w:rPr>
      </w:pPr>
      <w:r>
        <w:rPr>
          <w:rFonts w:eastAsia="方正仿宋_GBK" w:hint="eastAsia"/>
          <w:kern w:val="0"/>
          <w:sz w:val="33"/>
          <w:szCs w:val="33"/>
        </w:rPr>
        <w:t>2023年度“三公”经费财政拨款支出决算为</w:t>
      </w:r>
      <w:r>
        <w:rPr>
          <w:rFonts w:eastAsia="方正仿宋_GBK"/>
          <w:kern w:val="0"/>
          <w:sz w:val="33"/>
          <w:szCs w:val="33"/>
        </w:rPr>
        <w:t>20.26</w:t>
      </w:r>
      <w:r>
        <w:rPr>
          <w:rFonts w:eastAsia="方正仿宋_GBK" w:hint="eastAsia"/>
          <w:kern w:val="0"/>
          <w:sz w:val="33"/>
          <w:szCs w:val="33"/>
        </w:rPr>
        <w:t>万元，完成预算</w:t>
      </w:r>
      <w:r>
        <w:rPr>
          <w:rFonts w:eastAsia="方正仿宋_GBK"/>
          <w:kern w:val="0"/>
          <w:sz w:val="33"/>
          <w:szCs w:val="33"/>
        </w:rPr>
        <w:t>100%</w:t>
      </w:r>
      <w:r>
        <w:rPr>
          <w:rFonts w:eastAsia="方正仿宋_GBK" w:hint="eastAsia"/>
          <w:kern w:val="0"/>
          <w:sz w:val="33"/>
          <w:szCs w:val="33"/>
        </w:rPr>
        <w:t>，较上年度减少1.65万元，下降7.53%。决算数小于预算数的主要原因是单位厉行</w:t>
      </w:r>
      <w:r>
        <w:rPr>
          <w:rFonts w:eastAsia="方正仿宋_GBK" w:hint="eastAsia"/>
          <w:kern w:val="0"/>
          <w:sz w:val="33"/>
          <w:szCs w:val="33"/>
          <w:lang w:eastAsia="zh-CN"/>
        </w:rPr>
        <w:t>勤俭</w:t>
      </w:r>
      <w:r>
        <w:rPr>
          <w:rFonts w:eastAsia="方正仿宋_GBK" w:hint="eastAsia"/>
          <w:kern w:val="0"/>
          <w:sz w:val="33"/>
          <w:szCs w:val="33"/>
        </w:rPr>
        <w:t>节约</w:t>
      </w:r>
      <w:r>
        <w:rPr>
          <w:rFonts w:eastAsia="方正仿宋_GBK" w:hint="eastAsia"/>
          <w:kern w:val="0"/>
          <w:sz w:val="33"/>
          <w:szCs w:val="33"/>
          <w:lang w:eastAsia="zh-CN"/>
        </w:rPr>
        <w:t>、加强预算管理，严控“三公”经费</w:t>
      </w:r>
      <w:r>
        <w:rPr>
          <w:rFonts w:eastAsia="方正仿宋_GBK" w:hint="eastAsia"/>
          <w:kern w:val="0"/>
          <w:sz w:val="33"/>
          <w:szCs w:val="33"/>
        </w:rPr>
        <w:t>。</w:t>
      </w:r>
    </w:p>
    <w:p>
      <w:pPr>
        <w:spacing w:line="600" w:lineRule="exact"/>
        <w:ind w:firstLineChars="200" w:firstLine="660"/>
        <w:outlineLvl w:val="2"/>
        <w:rPr>
          <w:rFonts w:ascii="方正楷体_GBK" w:eastAsia="方正楷体_GBK"/>
          <w:b/>
          <w:sz w:val="33"/>
          <w:szCs w:val="33"/>
        </w:rPr>
      </w:pPr>
      <w:bookmarkStart w:id="97" w:name="_Toc176800676"/>
      <w:bookmarkStart w:id="98" w:name="_Toc15377217"/>
      <w:bookmarkStart w:id="99" w:name="_Toc176532149"/>
      <w:r>
        <w:rPr>
          <w:rFonts w:ascii="方正楷体_GBK" w:eastAsia="方正楷体_GBK" w:hint="eastAsia"/>
          <w:b/>
          <w:sz w:val="33"/>
          <w:szCs w:val="33"/>
        </w:rPr>
        <w:t>（二）“三公”经费财政拨款支出决算具体情况说明</w:t>
      </w:r>
      <w:bookmarkEnd w:id="97"/>
      <w:bookmarkEnd w:id="98"/>
      <w:bookmarkEnd w:id="99"/>
    </w:p>
    <w:p>
      <w:pPr>
        <w:spacing w:line="600" w:lineRule="exact"/>
        <w:ind w:firstLine="640"/>
        <w:rPr>
          <w:rFonts w:eastAsia="方正仿宋_GBK"/>
          <w:kern w:val="0"/>
          <w:sz w:val="33"/>
          <w:szCs w:val="33"/>
        </w:rPr>
      </w:pPr>
      <w:r>
        <w:rPr>
          <w:rFonts w:eastAsia="方正仿宋_GBK" w:hint="eastAsia"/>
          <w:kern w:val="0"/>
          <w:sz w:val="33"/>
          <w:szCs w:val="33"/>
        </w:rPr>
        <w:t>2023年度“三公”经费财政拨款支出决算中，因公出国（境）费支出决算</w:t>
      </w:r>
      <w:r>
        <w:rPr>
          <w:rFonts w:eastAsia="方正仿宋_GBK"/>
          <w:kern w:val="0"/>
          <w:sz w:val="33"/>
          <w:szCs w:val="33"/>
        </w:rPr>
        <w:t>0</w:t>
      </w:r>
      <w:r>
        <w:rPr>
          <w:rFonts w:eastAsia="方正仿宋_GBK" w:hint="eastAsia"/>
          <w:kern w:val="0"/>
          <w:sz w:val="33"/>
          <w:szCs w:val="33"/>
        </w:rPr>
        <w:t>万元，占</w:t>
      </w:r>
      <w:r>
        <w:rPr>
          <w:rFonts w:eastAsia="方正仿宋_GBK"/>
          <w:kern w:val="0"/>
          <w:sz w:val="33"/>
          <w:szCs w:val="33"/>
        </w:rPr>
        <w:t>0%</w:t>
      </w:r>
      <w:r>
        <w:rPr>
          <w:rFonts w:eastAsia="方正仿宋_GBK" w:hint="eastAsia"/>
          <w:kern w:val="0"/>
          <w:sz w:val="33"/>
          <w:szCs w:val="33"/>
        </w:rPr>
        <w:t>；公务用车购置及运行维护费支出决算</w:t>
      </w:r>
      <w:r>
        <w:rPr>
          <w:rFonts w:eastAsia="方正仿宋_GBK"/>
          <w:kern w:val="0"/>
          <w:sz w:val="33"/>
          <w:szCs w:val="33"/>
        </w:rPr>
        <w:t>16.66</w:t>
      </w:r>
      <w:r>
        <w:rPr>
          <w:rFonts w:eastAsia="方正仿宋_GBK" w:hint="eastAsia"/>
          <w:kern w:val="0"/>
          <w:sz w:val="33"/>
          <w:szCs w:val="33"/>
        </w:rPr>
        <w:t>万元，占</w:t>
      </w:r>
      <w:r>
        <w:rPr>
          <w:rFonts w:eastAsia="方正仿宋_GBK"/>
          <w:kern w:val="0"/>
          <w:sz w:val="33"/>
          <w:szCs w:val="33"/>
        </w:rPr>
        <w:t>82.23%</w:t>
      </w:r>
      <w:r>
        <w:rPr>
          <w:rFonts w:eastAsia="方正仿宋_GBK" w:hint="eastAsia"/>
          <w:kern w:val="0"/>
          <w:sz w:val="33"/>
          <w:szCs w:val="33"/>
        </w:rPr>
        <w:t>；公务接待费支出决算</w:t>
      </w:r>
      <w:r>
        <w:rPr>
          <w:rFonts w:eastAsia="方正仿宋_GBK"/>
          <w:kern w:val="0"/>
          <w:sz w:val="33"/>
          <w:szCs w:val="33"/>
        </w:rPr>
        <w:t>3.6</w:t>
      </w:r>
      <w:r>
        <w:rPr>
          <w:rFonts w:eastAsia="方正仿宋_GBK" w:hint="eastAsia"/>
          <w:kern w:val="0"/>
          <w:sz w:val="33"/>
          <w:szCs w:val="33"/>
        </w:rPr>
        <w:t>万元，占</w:t>
      </w:r>
      <w:r>
        <w:rPr>
          <w:rFonts w:eastAsia="方正仿宋_GBK"/>
          <w:kern w:val="0"/>
          <w:sz w:val="33"/>
          <w:szCs w:val="33"/>
        </w:rPr>
        <w:t>17.76%</w:t>
      </w:r>
      <w:r>
        <w:rPr>
          <w:rFonts w:eastAsia="方正仿宋_GBK" w:hint="eastAsia"/>
          <w:kern w:val="0"/>
          <w:sz w:val="33"/>
          <w:szCs w:val="33"/>
        </w:rPr>
        <w:t>。具体情况如下：</w:t>
      </w:r>
    </w:p>
    <w:p>
      <w:pPr>
        <w:pStyle w:val="15"/>
      </w:pPr>
      <w:r>
        <w:drawing>
          <wp:inline distT="0" distB="0" distL="85723" distR="85723">
            <wp:extent cx="4825976" cy="2740218"/>
            <wp:effectExtent l="0" t="0" r="18" b="13"/>
            <wp:docPr id="9" name="图片"/>
            <wp:cNvGraphicFramePr>
              <a:graphicFrameLocks noChangeAspect="1"/>
            </wp:cNvGraphicFramePr>
            <a:graphic>
              <a:graphicData uri="http://schemas.openxmlformats.org/drawingml/2006/picture">
                <pic:pic>
                  <pic:nvPicPr>
                    <pic:cNvPr id="11" name="图片 11"/>
                    <pic:cNvPicPr/>
                  </pic:nvPicPr>
                  <pic:blipFill>
                    <a:blip r:embed="rId10"/>
                    <a:stretch>
                      <a:fillRect/>
                    </a:stretch>
                  </pic:blipFill>
                  <pic:spPr>
                    <a:xfrm rot="0">
                      <a:off x="0" y="0"/>
                      <a:ext cx="4825976" cy="2740218"/>
                    </a:xfrm>
                    <a:prstGeom prst="rect"/>
                    <a:noFill/>
                    <a:ln w="9525" cmpd="sng" cap="flat">
                      <a:noFill/>
                      <a:prstDash val="solid"/>
                      <a:miter/>
                    </a:ln>
                  </pic:spPr>
                </pic:pic>
              </a:graphicData>
            </a:graphic>
          </wp:inline>
        </w:drawing>
      </w:r>
    </w:p>
    <w:p/>
    <w:p>
      <w:pPr>
        <w:spacing w:line="600" w:lineRule="exact"/>
        <w:ind w:firstLine="640"/>
        <w:rPr>
          <w:rFonts w:ascii="Times New Roman" w:eastAsia="方正仿宋_GBK" w:cs="Times New Roman" w:hAnsi="Times New Roman"/>
          <w:kern w:val="0"/>
          <w:sz w:val="33"/>
          <w:szCs w:val="33"/>
        </w:rPr>
      </w:pPr>
      <w:r>
        <w:rPr>
          <w:rFonts w:ascii="Times New Roman" w:eastAsia="方正仿宋_GBK" w:cs="Times New Roman" w:hAnsi="Times New Roman"/>
          <w:b/>
          <w:sz w:val="33"/>
          <w:szCs w:val="33"/>
        </w:rPr>
        <w:t>1.因公出国（境）经费支出</w:t>
      </w:r>
      <w:r>
        <w:rPr>
          <w:rFonts w:ascii="Times New Roman" w:eastAsia="方正仿宋_GBK" w:cs="Times New Roman" w:hAnsi="Times New Roman"/>
          <w:kern w:val="0"/>
          <w:sz w:val="33"/>
          <w:szCs w:val="33"/>
        </w:rPr>
        <w:t>0万元，完成预算</w:t>
      </w:r>
      <w:r>
        <w:rPr>
          <w:rFonts w:ascii="Times New Roman" w:eastAsia="方正仿宋_GBK" w:cs="Times New Roman" w:hAnsi="Times New Roman"/>
          <w:b/>
          <w:kern w:val="0"/>
          <w:sz w:val="33"/>
          <w:szCs w:val="33"/>
        </w:rPr>
        <w:t>0</w:t>
      </w:r>
      <w:r>
        <w:rPr>
          <w:rFonts w:ascii="Times New Roman" w:eastAsia="方正仿宋_GBK" w:cs="Times New Roman" w:hAnsi="Times New Roman"/>
          <w:kern w:val="0"/>
          <w:sz w:val="33"/>
          <w:szCs w:val="33"/>
        </w:rPr>
        <w:t>%。全年安排因公出国（境）团组0次，出国（境）0人。</w:t>
      </w:r>
    </w:p>
    <w:p>
      <w:pPr>
        <w:spacing w:line="600" w:lineRule="exact"/>
        <w:ind w:firstLine="640"/>
        <w:rPr>
          <w:rFonts w:eastAsia="方正仿宋_GBK"/>
          <w:kern w:val="0"/>
          <w:sz w:val="33"/>
          <w:szCs w:val="33"/>
        </w:rPr>
      </w:pPr>
      <w:r>
        <w:rPr>
          <w:rFonts w:ascii="Times New Roman" w:eastAsia="方正仿宋_GBK" w:cs="Times New Roman" w:hAnsi="Times New Roman"/>
          <w:b/>
          <w:sz w:val="33"/>
          <w:szCs w:val="33"/>
        </w:rPr>
        <w:t>2.公务用车购置及运行维护费支出</w:t>
      </w:r>
      <w:r>
        <w:rPr>
          <w:rFonts w:ascii="Times New Roman" w:eastAsia="方正仿宋_GBK" w:cs="Times New Roman" w:hAnsi="Times New Roman"/>
          <w:kern w:val="0"/>
          <w:sz w:val="33"/>
          <w:szCs w:val="33"/>
        </w:rPr>
        <w:t>16.66万元,完成预算</w:t>
      </w:r>
      <w:r>
        <w:rPr>
          <w:rFonts w:ascii="Times New Roman" w:eastAsia="方正仿宋_GBK" w:cs="Times New Roman" w:hAnsi="Times New Roman"/>
          <w:b/>
          <w:kern w:val="0"/>
          <w:sz w:val="33"/>
          <w:szCs w:val="33"/>
        </w:rPr>
        <w:t>100</w:t>
      </w:r>
      <w:r>
        <w:rPr>
          <w:rFonts w:ascii="Times New Roman" w:eastAsia="方正仿宋_GBK" w:cs="Times New Roman" w:hAnsi="Times New Roman"/>
          <w:kern w:val="0"/>
          <w:sz w:val="33"/>
          <w:szCs w:val="33"/>
        </w:rPr>
        <w:t>%。公务用车购置及运行维护费支出决算比2022年</w:t>
      </w:r>
      <w:r>
        <w:rPr>
          <w:rFonts w:eastAsia="方正仿宋_GBK" w:hint="eastAsia"/>
          <w:kern w:val="0"/>
          <w:sz w:val="33"/>
          <w:szCs w:val="33"/>
        </w:rPr>
        <w:t>度减少3.07万元，下降15.56</w:t>
      </w:r>
      <w:r>
        <w:rPr>
          <w:rFonts w:eastAsia="方正仿宋_GBK"/>
          <w:kern w:val="0"/>
          <w:sz w:val="33"/>
          <w:szCs w:val="33"/>
        </w:rPr>
        <w:t>%</w:t>
      </w:r>
      <w:r>
        <w:rPr>
          <w:rFonts w:eastAsia="方正仿宋_GBK" w:hint="eastAsia"/>
          <w:kern w:val="0"/>
          <w:sz w:val="33"/>
          <w:szCs w:val="33"/>
        </w:rPr>
        <w:t>。主要原因是单位厉行</w:t>
      </w:r>
      <w:r>
        <w:rPr>
          <w:rFonts w:eastAsia="方正仿宋_GBK" w:hint="eastAsia"/>
          <w:kern w:val="0"/>
          <w:sz w:val="33"/>
          <w:szCs w:val="33"/>
          <w:lang w:eastAsia="zh-CN"/>
        </w:rPr>
        <w:t>勤俭</w:t>
      </w:r>
      <w:r>
        <w:rPr>
          <w:rFonts w:eastAsia="方正仿宋_GBK" w:hint="eastAsia"/>
          <w:kern w:val="0"/>
          <w:sz w:val="33"/>
          <w:szCs w:val="33"/>
        </w:rPr>
        <w:t>节约</w:t>
      </w:r>
      <w:r>
        <w:rPr>
          <w:rFonts w:eastAsia="方正仿宋_GBK" w:hint="eastAsia"/>
          <w:kern w:val="0"/>
          <w:sz w:val="33"/>
          <w:szCs w:val="33"/>
          <w:lang w:eastAsia="zh-CN"/>
        </w:rPr>
        <w:t>、加强预算管理，严控“三公”经费</w:t>
      </w:r>
      <w:r>
        <w:rPr>
          <w:rFonts w:eastAsia="方正仿宋_GBK" w:hint="eastAsia"/>
          <w:kern w:val="0"/>
          <w:sz w:val="33"/>
          <w:szCs w:val="33"/>
        </w:rPr>
        <w:t>。</w:t>
      </w:r>
    </w:p>
    <w:p>
      <w:pPr>
        <w:spacing w:line="600" w:lineRule="exact"/>
        <w:ind w:firstLineChars="200" w:firstLine="660"/>
        <w:rPr>
          <w:rFonts w:eastAsia="方正仿宋_GBK"/>
          <w:kern w:val="0"/>
          <w:sz w:val="33"/>
          <w:szCs w:val="33"/>
        </w:rPr>
      </w:pPr>
      <w:r>
        <w:rPr>
          <w:rFonts w:eastAsia="方正仿宋_GBK" w:hint="eastAsia"/>
          <w:kern w:val="0"/>
          <w:sz w:val="33"/>
          <w:szCs w:val="33"/>
        </w:rPr>
        <w:t>其中：</w:t>
      </w:r>
      <w:r>
        <w:rPr>
          <w:rFonts w:ascii="方正仿宋_GBK" w:eastAsia="方正仿宋_GBK" w:hint="eastAsia"/>
          <w:b/>
          <w:sz w:val="33"/>
          <w:szCs w:val="33"/>
        </w:rPr>
        <w:t>公务用车购置支出</w:t>
      </w:r>
      <w:r>
        <w:rPr>
          <w:rFonts w:eastAsia="方正仿宋_GBK"/>
          <w:kern w:val="0"/>
          <w:sz w:val="33"/>
          <w:szCs w:val="33"/>
        </w:rPr>
        <w:t>0</w:t>
      </w:r>
      <w:r>
        <w:rPr>
          <w:rFonts w:eastAsia="方正仿宋_GBK" w:hint="eastAsia"/>
          <w:kern w:val="0"/>
          <w:sz w:val="33"/>
          <w:szCs w:val="33"/>
        </w:rPr>
        <w:t>万元。全年按规定更新购置公务用车0辆，其中：轿车0辆、金额0万元，越野车0辆、金额0万元，载客汽车0辆、金额0万。截至2023年</w:t>
      </w:r>
      <w:r>
        <w:rPr>
          <w:rFonts w:eastAsia="方正仿宋_GBK"/>
          <w:kern w:val="0"/>
          <w:sz w:val="33"/>
          <w:szCs w:val="33"/>
        </w:rPr>
        <w:t>12</w:t>
      </w:r>
      <w:r>
        <w:rPr>
          <w:rFonts w:eastAsia="方正仿宋_GBK" w:hint="eastAsia"/>
          <w:kern w:val="0"/>
          <w:sz w:val="33"/>
          <w:szCs w:val="33"/>
        </w:rPr>
        <w:t>月31日，单位共有公务用车8辆，其中：轿车1辆、越野车5辆、商务车1辆、小型载客汽车1辆。</w:t>
      </w:r>
    </w:p>
    <w:p>
      <w:pPr>
        <w:spacing w:line="600" w:lineRule="exact"/>
        <w:ind w:firstLine="640"/>
        <w:rPr>
          <w:rFonts w:eastAsia="方正仿宋_GBK"/>
          <w:kern w:val="0"/>
          <w:sz w:val="33"/>
          <w:szCs w:val="33"/>
        </w:rPr>
      </w:pPr>
      <w:r>
        <w:rPr>
          <w:rFonts w:ascii="方正仿宋_GBK" w:eastAsia="方正仿宋_GBK" w:hint="eastAsia"/>
          <w:b/>
          <w:sz w:val="33"/>
          <w:szCs w:val="33"/>
        </w:rPr>
        <w:t>公务用车运行维护费支出</w:t>
      </w:r>
      <w:r>
        <w:rPr>
          <w:rFonts w:eastAsia="仿宋"/>
          <w:b/>
          <w:sz w:val="33"/>
          <w:szCs w:val="33"/>
        </w:rPr>
        <w:t>16.66</w:t>
      </w:r>
      <w:r>
        <w:rPr>
          <w:rFonts w:ascii="仿宋_GB2312" w:eastAsia="仿宋_GB2312" w:hint="eastAsia"/>
          <w:sz w:val="32"/>
          <w:szCs w:val="32"/>
        </w:rPr>
        <w:t>万元。</w:t>
      </w:r>
      <w:r>
        <w:rPr>
          <w:rFonts w:eastAsia="方正仿宋_GBK" w:hint="eastAsia"/>
          <w:kern w:val="0"/>
          <w:sz w:val="33"/>
          <w:szCs w:val="33"/>
        </w:rPr>
        <w:t>主要用于专委会调研、考察，领导督导重大项目等所需的公务用车燃料费、维修费、过路过桥费、保险费等支出。</w:t>
      </w:r>
    </w:p>
    <w:p>
      <w:pPr>
        <w:spacing w:line="600" w:lineRule="exact"/>
        <w:ind w:firstLine="640"/>
        <w:rPr>
          <w:rFonts w:ascii="仿宋_GB2312" w:eastAsia="仿宋_GB2312"/>
          <w:sz w:val="32"/>
          <w:szCs w:val="32"/>
        </w:rPr>
      </w:pPr>
      <w:r>
        <w:rPr>
          <w:rFonts w:ascii="Times New Roman" w:eastAsia="方正仿宋_GBK" w:cs="Times New Roman" w:hAnsi="Times New Roman"/>
          <w:b/>
          <w:sz w:val="33"/>
          <w:szCs w:val="33"/>
        </w:rPr>
        <w:t>3.公务接待费支出</w:t>
      </w:r>
      <w:r>
        <w:rPr>
          <w:rFonts w:ascii="Times New Roman" w:eastAsia="仿宋" w:cs="Times New Roman" w:hAnsi="Times New Roman"/>
          <w:b/>
          <w:sz w:val="33"/>
          <w:szCs w:val="33"/>
        </w:rPr>
        <w:t>3.6</w:t>
      </w:r>
      <w:r>
        <w:rPr>
          <w:rFonts w:ascii="Times New Roman" w:eastAsia="方正仿宋_GBK" w:cs="Times New Roman" w:hAnsi="Times New Roman"/>
          <w:kern w:val="0"/>
          <w:sz w:val="33"/>
          <w:szCs w:val="33"/>
        </w:rPr>
        <w:t>万元，完成预算</w:t>
      </w:r>
      <w:r>
        <w:rPr>
          <w:rFonts w:ascii="Times New Roman" w:eastAsia="方正仿宋_GBK" w:cs="Times New Roman" w:hAnsi="Times New Roman" w:hint="eastAsia"/>
          <w:kern w:val="0"/>
          <w:sz w:val="33"/>
          <w:szCs w:val="33"/>
          <w:lang w:val="en-US" w:eastAsia="zh-CN"/>
        </w:rPr>
        <w:t>100</w:t>
      </w:r>
      <w:r>
        <w:rPr>
          <w:rFonts w:ascii="Times New Roman" w:eastAsia="方正仿宋_GBK" w:cs="Times New Roman" w:hAnsi="Times New Roman"/>
          <w:kern w:val="0"/>
          <w:sz w:val="33"/>
          <w:szCs w:val="33"/>
        </w:rPr>
        <w:t>%。公务接待费支出决算比2022年度增加1.42万元，增长65.13%。</w:t>
      </w:r>
      <w:r>
        <w:rPr>
          <w:rFonts w:eastAsia="方正仿宋_GBK" w:hint="eastAsia"/>
          <w:kern w:val="0"/>
          <w:sz w:val="33"/>
          <w:szCs w:val="33"/>
        </w:rPr>
        <w:t>主要原因</w:t>
      </w:r>
      <w:r>
        <w:rPr>
          <w:rFonts w:eastAsia="方正仿宋_GBK" w:hint="eastAsia"/>
          <w:kern w:val="0"/>
          <w:sz w:val="33"/>
          <w:szCs w:val="33"/>
          <w:lang w:eastAsia="zh-CN"/>
        </w:rPr>
        <w:t>随着</w:t>
      </w:r>
      <w:r>
        <w:rPr>
          <w:rFonts w:eastAsia="方正仿宋_GBK" w:hint="eastAsia"/>
          <w:kern w:val="0"/>
          <w:sz w:val="33"/>
          <w:szCs w:val="33"/>
        </w:rPr>
        <w:t>攀枝花知名度提升，各省、市州来攀考察、调研增多，各省、市州来攀考察、调研增多。其中：</w:t>
      </w:r>
    </w:p>
    <w:p>
      <w:pPr>
        <w:spacing w:line="600" w:lineRule="exact"/>
        <w:ind w:firstLine="640"/>
        <w:rPr>
          <w:rFonts w:eastAsia="方正仿宋_GBK"/>
          <w:kern w:val="0"/>
          <w:sz w:val="33"/>
          <w:szCs w:val="33"/>
        </w:rPr>
      </w:pPr>
      <w:r>
        <w:rPr>
          <w:rFonts w:ascii="方正仿宋_GBK" w:eastAsia="方正仿宋_GBK" w:hint="eastAsia"/>
          <w:b/>
          <w:sz w:val="33"/>
          <w:szCs w:val="33"/>
        </w:rPr>
        <w:t>国内公务接待支出</w:t>
      </w:r>
      <w:r>
        <w:rPr>
          <w:rFonts w:eastAsia="方正仿宋_GBK"/>
          <w:kern w:val="0"/>
          <w:sz w:val="33"/>
          <w:szCs w:val="33"/>
        </w:rPr>
        <w:t>3.6</w:t>
      </w:r>
      <w:r>
        <w:rPr>
          <w:rFonts w:eastAsia="方正仿宋_GBK" w:hint="eastAsia"/>
          <w:kern w:val="0"/>
          <w:sz w:val="33"/>
          <w:szCs w:val="33"/>
        </w:rPr>
        <w:t>万元，主要用于</w:t>
      </w:r>
      <w:r>
        <w:rPr>
          <w:rFonts w:eastAsia="方正仿宋_GBK"/>
          <w:color w:val="000000"/>
          <w:sz w:val="33"/>
          <w:szCs w:val="32"/>
        </w:rPr>
        <w:t>各省（区、市）政协以及本省市（州）政协来攀考察调研、学习交流、检查指导、请示汇报工作等服务保障。</w:t>
      </w:r>
      <w:r>
        <w:rPr>
          <w:rFonts w:eastAsia="方正仿宋_GBK" w:hint="eastAsia"/>
          <w:kern w:val="0"/>
          <w:sz w:val="33"/>
          <w:szCs w:val="33"/>
        </w:rPr>
        <w:t>国内公务接待54批次，506人（不包括陪同人员），共计支出3.6万元，具体内容包括：接待眉山市政协来攀考察调研“有事来商量”工作，支出1180元；南充政协来攀考察调研“两个薄弱”问题、书香政协、“有事来商量”、机关建设等工作，支出3551元；</w:t>
      </w:r>
      <w:r>
        <w:rPr>
          <w:rFonts w:eastAsia="方正仿宋_GBK"/>
          <w:kern w:val="0"/>
          <w:sz w:val="33"/>
          <w:szCs w:val="33"/>
        </w:rPr>
        <w:t xml:space="preserve"> </w:t>
      </w:r>
      <w:r>
        <w:rPr>
          <w:rFonts w:eastAsia="方正仿宋_GBK" w:hint="eastAsia"/>
          <w:kern w:val="0"/>
          <w:sz w:val="33"/>
          <w:szCs w:val="33"/>
        </w:rPr>
        <w:t>省政协来攀调研推进现代农业园区、职业病防治与职业健康管理、加快医养结合机制探索、助力健康四川建设等工作，支出12250元；重庆市政协、永川区政协来攀调研工业发展、职业教育等工作，支出3483元；自贡政协来攀调研民族宗教工作，支出536元；安徽淮北市政协来攀调研乡村产业、传统村落文化保护等工作，支出1289元；河北承德市政协来攀调研推进钒钛新材料产业发展工作，支出1300元；湖北咸宁市政协来攀调研医养结合工作，支出892元；云南红河州政协来攀调研康养产业工作，支出1279元；新疆省政协来攀调研高标准果园建设工作，支出884元；全国政协委员来攀调研新能源产业建设工作，支出5980元；中国政协文史馆来攀调研文化文史资料工作，支出1685元；专家来攀为政协委员授课培训，支出1675元。</w:t>
      </w:r>
    </w:p>
    <w:p>
      <w:pPr>
        <w:spacing w:line="600" w:lineRule="exact"/>
        <w:ind w:firstLine="640"/>
        <w:rPr>
          <w:rFonts w:eastAsia="方正仿宋_GBK"/>
          <w:kern w:val="0"/>
          <w:sz w:val="33"/>
          <w:szCs w:val="33"/>
        </w:rPr>
      </w:pPr>
      <w:r>
        <w:rPr>
          <w:rFonts w:ascii="仿宋" w:eastAsia="仿宋" w:hint="eastAsia"/>
          <w:b/>
          <w:sz w:val="32"/>
          <w:szCs w:val="32"/>
        </w:rPr>
        <w:t>外事接待支出</w:t>
      </w:r>
      <w:r>
        <w:rPr>
          <w:rFonts w:eastAsia="方正仿宋_GBK"/>
          <w:kern w:val="0"/>
          <w:sz w:val="33"/>
          <w:szCs w:val="33"/>
        </w:rPr>
        <w:t>0</w:t>
      </w:r>
      <w:r>
        <w:rPr>
          <w:rFonts w:eastAsia="方正仿宋_GBK" w:hint="eastAsia"/>
          <w:kern w:val="0"/>
          <w:sz w:val="33"/>
          <w:szCs w:val="33"/>
        </w:rPr>
        <w:t>万元。外事接待0批次，0人次（不包括陪同人员），共计支出0万元。</w:t>
      </w:r>
    </w:p>
    <w:p>
      <w:pPr>
        <w:spacing w:line="600" w:lineRule="exact"/>
        <w:ind w:left="640"/>
        <w:outlineLvl w:val="1"/>
        <w:rPr>
          <w:rFonts w:ascii="方正黑体_GBK" w:eastAsia="方正黑体_GBK"/>
          <w:b/>
          <w:bCs/>
          <w:sz w:val="33"/>
          <w:szCs w:val="33"/>
        </w:rPr>
      </w:pPr>
      <w:bookmarkStart w:id="100" w:name="_Toc176532150"/>
      <w:bookmarkStart w:id="101" w:name="_Toc176800677"/>
      <w:bookmarkEnd w:id="92"/>
      <w:bookmarkEnd w:id="93"/>
      <w:r>
        <w:rPr>
          <w:rFonts w:ascii="方正黑体_GBK" w:eastAsia="方正黑体_GBK" w:hint="eastAsia"/>
          <w:sz w:val="33"/>
          <w:szCs w:val="33"/>
        </w:rPr>
        <w:t>八、</w:t>
      </w:r>
      <w:r>
        <w:rPr>
          <w:rFonts w:ascii="方正黑体_GBK" w:eastAsia="方正黑体_GBK" w:hint="eastAsia"/>
          <w:bCs/>
          <w:sz w:val="33"/>
          <w:szCs w:val="33"/>
        </w:rPr>
        <w:t>政府性基金预算支出决算情况说明</w:t>
      </w:r>
      <w:bookmarkEnd w:id="100"/>
      <w:bookmarkEnd w:id="101"/>
    </w:p>
    <w:p>
      <w:pPr>
        <w:pStyle w:val="32"/>
        <w:spacing w:line="560" w:lineRule="exact"/>
        <w:ind w:firstLineChars="200" w:firstLine="660"/>
        <w:rPr>
          <w:rFonts w:ascii="Times New Roman" w:eastAsia="方正仿宋_GBK" w:cs="Times New Roman" w:hAnsi="Times New Roman"/>
          <w:color w:val="auto"/>
          <w:sz w:val="33"/>
          <w:szCs w:val="33"/>
        </w:rPr>
      </w:pPr>
      <w:r>
        <w:rPr>
          <w:rFonts w:ascii="Times New Roman" w:eastAsia="方正仿宋_GBK" w:cs="Times New Roman" w:hAnsi="Times New Roman" w:hint="eastAsia"/>
          <w:color w:val="auto"/>
          <w:sz w:val="33"/>
          <w:szCs w:val="33"/>
        </w:rPr>
        <w:t>2023年度政府性基金预算财政拨款支出</w:t>
      </w:r>
      <w:r>
        <w:rPr>
          <w:rFonts w:ascii="Times New Roman" w:eastAsia="方正仿宋_GBK" w:cs="Times New Roman" w:hAnsi="Times New Roman"/>
          <w:color w:val="auto"/>
          <w:sz w:val="33"/>
          <w:szCs w:val="33"/>
        </w:rPr>
        <w:t>0</w:t>
      </w:r>
      <w:r>
        <w:rPr>
          <w:rFonts w:ascii="Times New Roman" w:eastAsia="方正仿宋_GBK" w:cs="Times New Roman" w:hAnsi="Times New Roman" w:hint="eastAsia"/>
          <w:color w:val="auto"/>
          <w:sz w:val="33"/>
          <w:szCs w:val="33"/>
        </w:rPr>
        <w:t>万元。</w:t>
      </w:r>
    </w:p>
    <w:p>
      <w:pPr>
        <w:numPr>
          <w:ilvl w:val="0"/>
          <w:numId w:val="2"/>
        </w:numPr>
        <w:spacing w:line="600" w:lineRule="exact"/>
        <w:ind w:left="0" w:firstLine="640"/>
        <w:outlineLvl w:val="1"/>
        <w:rPr>
          <w:rStyle w:val="2Char"/>
          <w:rFonts w:ascii="方正黑体_GBK" w:eastAsia="方正黑体_GBK"/>
          <w:b w:val="0"/>
          <w:sz w:val="33"/>
          <w:szCs w:val="33"/>
        </w:rPr>
      </w:pPr>
      <w:bookmarkStart w:id="102" w:name="_Toc176532151"/>
      <w:bookmarkStart w:id="103" w:name="_Toc15377219"/>
      <w:bookmarkStart w:id="104" w:name="_Toc176800678"/>
      <w:bookmarkStart w:id="105" w:name="_Toc15396611"/>
      <w:r>
        <w:rPr>
          <w:rStyle w:val="2Char"/>
          <w:rFonts w:ascii="方正黑体_GBK" w:eastAsia="方正黑体_GBK" w:hint="eastAsia"/>
          <w:b w:val="0"/>
          <w:sz w:val="33"/>
          <w:szCs w:val="33"/>
        </w:rPr>
        <w:t>国有资本经营预算支出决算情况说明</w:t>
      </w:r>
      <w:bookmarkEnd w:id="102"/>
      <w:bookmarkEnd w:id="103"/>
      <w:bookmarkEnd w:id="104"/>
      <w:bookmarkEnd w:id="105"/>
    </w:p>
    <w:p>
      <w:pPr>
        <w:spacing w:line="600" w:lineRule="exact"/>
        <w:ind w:firstLine="640"/>
        <w:rPr>
          <w:rStyle w:val="2Char"/>
          <w:rFonts w:ascii="Times New Roman" w:eastAsia="仿宋_GB2312" w:cs="Times New Roman" w:hAnsi="Times New Roman"/>
          <w:b w:val="0"/>
          <w:bCs w:val="0"/>
        </w:rPr>
      </w:pPr>
      <w:r>
        <w:rPr>
          <w:rFonts w:eastAsia="方正仿宋_GBK"/>
          <w:kern w:val="0"/>
          <w:sz w:val="33"/>
          <w:szCs w:val="33"/>
        </w:rPr>
        <w:t>2023年度国有资本经营预算财政拨款支出0万元。</w:t>
      </w:r>
    </w:p>
    <w:p>
      <w:pPr>
        <w:numPr>
          <w:ilvl w:val="0"/>
          <w:numId w:val="2"/>
        </w:numPr>
        <w:spacing w:line="600" w:lineRule="exact"/>
        <w:ind w:left="0" w:firstLine="640"/>
        <w:outlineLvl w:val="1"/>
        <w:rPr>
          <w:rStyle w:val="2Char"/>
          <w:rFonts w:ascii="方正黑体_GBK" w:eastAsia="方正黑体_GBK"/>
          <w:b w:val="0"/>
          <w:sz w:val="33"/>
          <w:szCs w:val="33"/>
        </w:rPr>
      </w:pPr>
      <w:bookmarkStart w:id="106" w:name="_Toc15396612"/>
      <w:bookmarkStart w:id="107" w:name="_Toc15377221"/>
      <w:bookmarkStart w:id="108" w:name="_Toc176532152"/>
      <w:bookmarkStart w:id="109" w:name="_Toc176800679"/>
      <w:r>
        <w:rPr>
          <w:rStyle w:val="2Char"/>
          <w:rFonts w:ascii="方正黑体_GBK" w:eastAsia="方正黑体_GBK" w:hint="eastAsia"/>
          <w:b w:val="0"/>
          <w:sz w:val="33"/>
          <w:szCs w:val="33"/>
        </w:rPr>
        <w:t>其他重要事项的情况说明</w:t>
      </w:r>
      <w:bookmarkEnd w:id="106"/>
      <w:bookmarkEnd w:id="107"/>
      <w:bookmarkEnd w:id="108"/>
      <w:bookmarkEnd w:id="109"/>
    </w:p>
    <w:p>
      <w:pPr>
        <w:spacing w:line="600" w:lineRule="exact"/>
        <w:ind w:firstLineChars="200" w:firstLine="660"/>
        <w:outlineLvl w:val="2"/>
        <w:rPr>
          <w:rFonts w:ascii="方正楷体_GBK" w:eastAsia="方正楷体_GBK"/>
          <w:sz w:val="33"/>
          <w:szCs w:val="33"/>
        </w:rPr>
      </w:pPr>
      <w:bookmarkStart w:id="110" w:name="_Toc15377222"/>
      <w:bookmarkStart w:id="111" w:name="_Toc176800680"/>
      <w:bookmarkStart w:id="112" w:name="_Toc176532153"/>
      <w:r>
        <w:rPr>
          <w:rFonts w:ascii="方正楷体_GBK" w:eastAsia="方正楷体_GBK" w:hint="eastAsia"/>
          <w:b/>
          <w:sz w:val="33"/>
          <w:szCs w:val="33"/>
        </w:rPr>
        <w:t>（一）机关运行经费支出情况</w:t>
      </w:r>
      <w:bookmarkEnd w:id="110"/>
      <w:bookmarkEnd w:id="111"/>
      <w:bookmarkEnd w:id="112"/>
    </w:p>
    <w:p>
      <w:pPr>
        <w:pStyle w:val="32"/>
        <w:spacing w:line="560" w:lineRule="exact"/>
        <w:ind w:firstLineChars="200" w:firstLine="660"/>
        <w:rPr>
          <w:rFonts w:ascii="Times New Roman" w:eastAsia="方正仿宋_GBK" w:cs="Times New Roman" w:hAnsi="Times New Roman"/>
          <w:color w:val="auto"/>
          <w:sz w:val="33"/>
          <w:szCs w:val="33"/>
        </w:rPr>
      </w:pPr>
      <w:r>
        <w:rPr>
          <w:rFonts w:ascii="Times New Roman" w:eastAsia="方正仿宋_GBK" w:cs="Times New Roman" w:hAnsi="Times New Roman" w:hint="eastAsia"/>
          <w:color w:val="auto"/>
          <w:sz w:val="33"/>
          <w:szCs w:val="33"/>
        </w:rPr>
        <w:t>2023年度，</w:t>
      </w:r>
      <w:r>
        <w:rPr>
          <w:rFonts w:ascii="Times New Roman" w:eastAsia="方正仿宋_GBK" w:cs="Times New Roman" w:hAnsi="Times New Roman"/>
          <w:color w:val="auto"/>
          <w:sz w:val="33"/>
          <w:szCs w:val="33"/>
        </w:rPr>
        <w:t>中国人民政治协商会议四川省攀枝花市委员会办公室</w:t>
      </w:r>
      <w:r>
        <w:rPr>
          <w:rFonts w:ascii="Times New Roman" w:eastAsia="方正仿宋_GBK" w:cs="Times New Roman" w:hAnsi="Times New Roman" w:hint="eastAsia"/>
          <w:color w:val="auto"/>
          <w:sz w:val="33"/>
          <w:szCs w:val="33"/>
        </w:rPr>
        <w:t>机关运行经费支出</w:t>
      </w:r>
      <w:r>
        <w:rPr>
          <w:rFonts w:ascii="Times New Roman" w:eastAsia="方正仿宋_GBK" w:cs="Times New Roman" w:hAnsi="Times New Roman"/>
          <w:color w:val="auto"/>
          <w:sz w:val="33"/>
          <w:szCs w:val="33"/>
        </w:rPr>
        <w:t>249.52</w:t>
      </w:r>
      <w:r>
        <w:rPr>
          <w:rFonts w:ascii="Times New Roman" w:eastAsia="方正仿宋_GBK" w:cs="Times New Roman" w:hAnsi="Times New Roman" w:hint="eastAsia"/>
          <w:color w:val="auto"/>
          <w:sz w:val="33"/>
          <w:szCs w:val="33"/>
        </w:rPr>
        <w:t>万元，比2022年度增加37.16万元，增长17.5</w:t>
      </w:r>
      <w:r>
        <w:rPr>
          <w:rFonts w:ascii="Times New Roman" w:eastAsia="方正仿宋_GBK" w:cs="Times New Roman" w:hAnsi="Times New Roman"/>
          <w:color w:val="auto"/>
          <w:sz w:val="33"/>
          <w:szCs w:val="33"/>
        </w:rPr>
        <w:t>%</w:t>
      </w:r>
      <w:r>
        <w:rPr>
          <w:rFonts w:ascii="Times New Roman" w:eastAsia="方正仿宋_GBK" w:cs="Times New Roman" w:hAnsi="Times New Roman" w:hint="eastAsia"/>
          <w:color w:val="auto"/>
          <w:sz w:val="33"/>
          <w:szCs w:val="33"/>
        </w:rPr>
        <w:t>。主要原因是人员增加，运行经费增加。</w:t>
      </w:r>
    </w:p>
    <w:p>
      <w:pPr>
        <w:spacing w:line="600" w:lineRule="exact"/>
        <w:ind w:firstLineChars="200" w:firstLine="660"/>
        <w:outlineLvl w:val="2"/>
        <w:rPr>
          <w:rFonts w:ascii="方正楷体_GBK" w:eastAsia="方正楷体_GBK"/>
          <w:b/>
          <w:sz w:val="33"/>
          <w:szCs w:val="33"/>
        </w:rPr>
      </w:pPr>
      <w:bookmarkStart w:id="113" w:name="_Toc176532154"/>
      <w:bookmarkStart w:id="114" w:name="_Toc15377223"/>
      <w:bookmarkStart w:id="115" w:name="_Toc176800681"/>
      <w:r>
        <w:rPr>
          <w:rFonts w:ascii="方正楷体_GBK" w:eastAsia="方正楷体_GBK" w:hint="eastAsia"/>
          <w:b/>
          <w:sz w:val="33"/>
          <w:szCs w:val="33"/>
        </w:rPr>
        <w:t>（二）政府采购支出情况</w:t>
      </w:r>
      <w:bookmarkEnd w:id="113"/>
      <w:bookmarkEnd w:id="114"/>
      <w:bookmarkEnd w:id="115"/>
    </w:p>
    <w:p>
      <w:pPr>
        <w:spacing w:line="600" w:lineRule="exact"/>
        <w:ind w:firstLine="640"/>
        <w:rPr>
          <w:rFonts w:eastAsia="方正仿宋_GBK"/>
          <w:kern w:val="0"/>
          <w:sz w:val="33"/>
          <w:szCs w:val="33"/>
        </w:rPr>
      </w:pPr>
      <w:r>
        <w:rPr>
          <w:rFonts w:eastAsia="方正仿宋_GBK" w:hint="eastAsia"/>
          <w:kern w:val="0"/>
          <w:sz w:val="33"/>
          <w:szCs w:val="33"/>
        </w:rPr>
        <w:t>2023年度，</w:t>
      </w:r>
      <w:r>
        <w:rPr>
          <w:rFonts w:eastAsia="方正仿宋_GBK"/>
          <w:kern w:val="0"/>
          <w:sz w:val="33"/>
          <w:szCs w:val="33"/>
        </w:rPr>
        <w:t>中国人民政治协商会议四川省攀枝花市委员会办公室</w:t>
      </w:r>
      <w:r>
        <w:rPr>
          <w:rFonts w:eastAsia="方正仿宋_GBK" w:hint="eastAsia"/>
          <w:kern w:val="0"/>
          <w:sz w:val="33"/>
          <w:szCs w:val="33"/>
        </w:rPr>
        <w:t>政府采购支出总额</w:t>
      </w:r>
      <w:r>
        <w:rPr>
          <w:rFonts w:eastAsia="方正仿宋_GBK"/>
          <w:kern w:val="0"/>
          <w:sz w:val="33"/>
          <w:szCs w:val="33"/>
        </w:rPr>
        <w:t>0</w:t>
      </w:r>
      <w:r>
        <w:rPr>
          <w:rFonts w:eastAsia="方正仿宋_GBK" w:hint="eastAsia"/>
          <w:kern w:val="0"/>
          <w:sz w:val="33"/>
          <w:szCs w:val="33"/>
        </w:rPr>
        <w:t>万元，其中：政府采购货物支出</w:t>
      </w:r>
      <w:r>
        <w:rPr>
          <w:rFonts w:eastAsia="方正仿宋_GBK"/>
          <w:kern w:val="0"/>
          <w:sz w:val="33"/>
          <w:szCs w:val="33"/>
        </w:rPr>
        <w:t>0</w:t>
      </w:r>
      <w:r>
        <w:rPr>
          <w:rFonts w:eastAsia="方正仿宋_GBK" w:hint="eastAsia"/>
          <w:kern w:val="0"/>
          <w:sz w:val="33"/>
          <w:szCs w:val="33"/>
        </w:rPr>
        <w:t>万元、政府采购工程支出</w:t>
      </w:r>
      <w:r>
        <w:rPr>
          <w:rFonts w:eastAsia="方正仿宋_GBK"/>
          <w:kern w:val="0"/>
          <w:sz w:val="33"/>
          <w:szCs w:val="33"/>
        </w:rPr>
        <w:t>0</w:t>
      </w:r>
      <w:r>
        <w:rPr>
          <w:rFonts w:eastAsia="方正仿宋_GBK" w:hint="eastAsia"/>
          <w:kern w:val="0"/>
          <w:sz w:val="33"/>
          <w:szCs w:val="33"/>
        </w:rPr>
        <w:t>万元、政府采购服务支出</w:t>
      </w:r>
      <w:r>
        <w:rPr>
          <w:rFonts w:eastAsia="方正仿宋_GBK"/>
          <w:kern w:val="0"/>
          <w:sz w:val="33"/>
          <w:szCs w:val="33"/>
        </w:rPr>
        <w:t>0</w:t>
      </w:r>
      <w:r>
        <w:rPr>
          <w:rFonts w:eastAsia="方正仿宋_GBK" w:hint="eastAsia"/>
          <w:kern w:val="0"/>
          <w:sz w:val="33"/>
          <w:szCs w:val="33"/>
        </w:rPr>
        <w:t>万元。授予中小企业合同金额</w:t>
      </w:r>
      <w:r>
        <w:rPr>
          <w:rFonts w:eastAsia="方正仿宋_GBK"/>
          <w:kern w:val="0"/>
          <w:sz w:val="33"/>
          <w:szCs w:val="33"/>
        </w:rPr>
        <w:t>0</w:t>
      </w:r>
      <w:r>
        <w:rPr>
          <w:rFonts w:eastAsia="方正仿宋_GBK" w:hint="eastAsia"/>
          <w:kern w:val="0"/>
          <w:sz w:val="33"/>
          <w:szCs w:val="33"/>
        </w:rPr>
        <w:t>万元，占政府采购支出总额的</w:t>
      </w:r>
      <w:r>
        <w:rPr>
          <w:rFonts w:eastAsia="方正仿宋_GBK"/>
          <w:kern w:val="0"/>
          <w:sz w:val="33"/>
          <w:szCs w:val="33"/>
        </w:rPr>
        <w:t>0%</w:t>
      </w:r>
      <w:r>
        <w:rPr>
          <w:rFonts w:eastAsia="方正仿宋_GBK" w:hint="eastAsia"/>
          <w:kern w:val="0"/>
          <w:sz w:val="33"/>
          <w:szCs w:val="33"/>
        </w:rPr>
        <w:t>，其中：授予小微企业合同金额</w:t>
      </w:r>
      <w:r>
        <w:rPr>
          <w:rFonts w:eastAsia="方正仿宋_GBK"/>
          <w:kern w:val="0"/>
          <w:sz w:val="33"/>
          <w:szCs w:val="33"/>
        </w:rPr>
        <w:t>0</w:t>
      </w:r>
      <w:r>
        <w:rPr>
          <w:rFonts w:eastAsia="方正仿宋_GBK" w:hint="eastAsia"/>
          <w:kern w:val="0"/>
          <w:sz w:val="33"/>
          <w:szCs w:val="33"/>
        </w:rPr>
        <w:t>万元，占政府采购支出总额的</w:t>
      </w:r>
      <w:r>
        <w:rPr>
          <w:rFonts w:eastAsia="方正仿宋_GBK"/>
          <w:kern w:val="0"/>
          <w:sz w:val="33"/>
          <w:szCs w:val="33"/>
        </w:rPr>
        <w:t>0%</w:t>
      </w:r>
      <w:r>
        <w:rPr>
          <w:rFonts w:eastAsia="方正仿宋_GBK" w:hint="eastAsia"/>
          <w:kern w:val="0"/>
          <w:sz w:val="33"/>
          <w:szCs w:val="33"/>
        </w:rPr>
        <w:t>。</w:t>
      </w:r>
    </w:p>
    <w:p>
      <w:pPr>
        <w:spacing w:line="600" w:lineRule="exact"/>
        <w:ind w:firstLineChars="200" w:firstLine="660"/>
        <w:outlineLvl w:val="2"/>
        <w:rPr>
          <w:rFonts w:ascii="方正楷体_GBK" w:eastAsia="方正楷体_GBK"/>
          <w:b/>
          <w:sz w:val="33"/>
          <w:szCs w:val="33"/>
        </w:rPr>
      </w:pPr>
      <w:bookmarkStart w:id="116" w:name="_Toc176532155"/>
      <w:bookmarkStart w:id="117" w:name="_Toc15377224"/>
      <w:bookmarkStart w:id="118" w:name="_Toc176800682"/>
      <w:r>
        <w:rPr>
          <w:rFonts w:ascii="方正楷体_GBK" w:eastAsia="方正楷体_GBK" w:hint="eastAsia"/>
          <w:b/>
          <w:sz w:val="33"/>
          <w:szCs w:val="33"/>
        </w:rPr>
        <w:t>（三）国有资产占有使用情况</w:t>
      </w:r>
      <w:bookmarkEnd w:id="116"/>
      <w:bookmarkEnd w:id="117"/>
      <w:bookmarkEnd w:id="118"/>
    </w:p>
    <w:p>
      <w:pPr>
        <w:spacing w:line="600" w:lineRule="exact"/>
        <w:ind w:firstLine="640"/>
        <w:rPr>
          <w:rFonts w:eastAsia="方正仿宋_GBK"/>
          <w:kern w:val="0"/>
          <w:sz w:val="33"/>
          <w:szCs w:val="33"/>
        </w:rPr>
      </w:pPr>
      <w:r>
        <w:rPr>
          <w:rFonts w:eastAsia="方正仿宋_GBK" w:hint="eastAsia"/>
          <w:kern w:val="0"/>
          <w:sz w:val="33"/>
          <w:szCs w:val="33"/>
        </w:rPr>
        <w:t>截至2023年</w:t>
      </w:r>
      <w:r>
        <w:rPr>
          <w:rFonts w:eastAsia="方正仿宋_GBK"/>
          <w:kern w:val="0"/>
          <w:sz w:val="33"/>
          <w:szCs w:val="33"/>
        </w:rPr>
        <w:t>12</w:t>
      </w:r>
      <w:r>
        <w:rPr>
          <w:rFonts w:eastAsia="方正仿宋_GBK" w:hint="eastAsia"/>
          <w:kern w:val="0"/>
          <w:sz w:val="33"/>
          <w:szCs w:val="33"/>
        </w:rPr>
        <w:t>月</w:t>
      </w:r>
      <w:r>
        <w:rPr>
          <w:rFonts w:eastAsia="方正仿宋_GBK"/>
          <w:kern w:val="0"/>
          <w:sz w:val="33"/>
          <w:szCs w:val="33"/>
        </w:rPr>
        <w:t>31</w:t>
      </w:r>
      <w:r>
        <w:rPr>
          <w:rFonts w:eastAsia="方正仿宋_GBK" w:hint="eastAsia"/>
          <w:kern w:val="0"/>
          <w:sz w:val="33"/>
          <w:szCs w:val="33"/>
        </w:rPr>
        <w:t>日，</w:t>
      </w:r>
      <w:r>
        <w:rPr>
          <w:rFonts w:eastAsia="方正仿宋_GBK"/>
          <w:kern w:val="0"/>
          <w:sz w:val="33"/>
          <w:szCs w:val="33"/>
        </w:rPr>
        <w:t>中国人民政治协商会议四川省攀枝花市委员会办公室</w:t>
      </w:r>
      <w:r>
        <w:rPr>
          <w:rFonts w:eastAsia="方正仿宋_GBK" w:hint="eastAsia"/>
          <w:kern w:val="0"/>
          <w:sz w:val="33"/>
          <w:szCs w:val="33"/>
        </w:rPr>
        <w:t>共有车辆8辆，其中：主要领导干部用车0辆、机要通信用车0辆、应急保障用车6辆、其他用车2辆，其他用车主要是用于各专委会调研考察。单价</w:t>
      </w:r>
      <w:r>
        <w:rPr>
          <w:rFonts w:eastAsia="方正仿宋_GBK"/>
          <w:kern w:val="0"/>
          <w:sz w:val="33"/>
          <w:szCs w:val="33"/>
        </w:rPr>
        <w:t>100</w:t>
      </w:r>
      <w:r>
        <w:rPr>
          <w:rFonts w:eastAsia="方正仿宋_GBK" w:hint="eastAsia"/>
          <w:kern w:val="0"/>
          <w:sz w:val="33"/>
          <w:szCs w:val="33"/>
        </w:rPr>
        <w:t>万元以上设备（不含车辆）</w:t>
      </w:r>
      <w:r>
        <w:rPr>
          <w:rFonts w:eastAsia="方正仿宋_GBK"/>
          <w:kern w:val="0"/>
          <w:sz w:val="33"/>
          <w:szCs w:val="33"/>
        </w:rPr>
        <w:t>0</w:t>
      </w:r>
      <w:r>
        <w:rPr>
          <w:rFonts w:eastAsia="方正仿宋_GBK" w:hint="eastAsia"/>
          <w:kern w:val="0"/>
          <w:sz w:val="33"/>
          <w:szCs w:val="33"/>
        </w:rPr>
        <w:t>台（套）。</w:t>
      </w:r>
    </w:p>
    <w:p>
      <w:pPr>
        <w:spacing w:line="600" w:lineRule="exact"/>
        <w:ind w:firstLineChars="200" w:firstLine="660"/>
        <w:outlineLvl w:val="2"/>
        <w:rPr>
          <w:rFonts w:ascii="方正楷体_GBK" w:eastAsia="方正楷体_GBK"/>
          <w:b/>
          <w:sz w:val="33"/>
          <w:szCs w:val="33"/>
        </w:rPr>
      </w:pPr>
      <w:bookmarkStart w:id="119" w:name="_Toc176800683"/>
      <w:bookmarkStart w:id="120" w:name="_Toc176532156"/>
      <w:r>
        <w:rPr>
          <w:rFonts w:ascii="方正楷体_GBK" w:eastAsia="方正楷体_GBK" w:hint="eastAsia"/>
          <w:b/>
          <w:sz w:val="33"/>
          <w:szCs w:val="33"/>
        </w:rPr>
        <w:t>（四）预算绩效管理情况</w:t>
      </w:r>
      <w:bookmarkEnd w:id="119"/>
      <w:bookmarkEnd w:id="120"/>
    </w:p>
    <w:p>
      <w:pPr>
        <w:spacing w:line="600" w:lineRule="exact"/>
        <w:ind w:firstLine="640"/>
        <w:rPr>
          <w:rFonts w:eastAsia="方正仿宋_GBK"/>
          <w:kern w:val="0"/>
          <w:sz w:val="33"/>
          <w:szCs w:val="33"/>
        </w:rPr>
      </w:pPr>
      <w:r>
        <w:rPr>
          <w:rFonts w:eastAsia="方正仿宋_GBK" w:hint="eastAsia"/>
          <w:kern w:val="0"/>
          <w:sz w:val="33"/>
          <w:szCs w:val="33"/>
        </w:rPr>
        <w:t>根据预算绩效管理要求，本部门在2023年度预算编制阶段，组织对物业管理费、政治协商会议、委员调研视察活动经费、专委会业务经费、业务运行费、基层联络站专项经费、丧葬抚恤费、市级挂职干部补助、关工委工作经费及干部异地体检经费等10个项目开展了预算事前绩效评估，对10个项目编制了绩效目标，预算执行过程中，选取10个项目开展绩效监控，组织对10个项目开展绩效自评，绩效自评表详见附件</w:t>
      </w:r>
      <w:r>
        <w:rPr>
          <w:rFonts w:eastAsia="方正仿宋_GBK"/>
          <w:kern w:val="0"/>
          <w:sz w:val="33"/>
          <w:szCs w:val="33"/>
        </w:rPr>
        <w:t>3（注：部门预算项目实际只有10个，但一体化系统导出的预算项目绩效自评表有11个，包括了决算报表上属于基本支出的退休人员一次性补贴）</w:t>
      </w:r>
      <w:r>
        <w:rPr>
          <w:rFonts w:eastAsia="方正仿宋_GBK" w:hint="eastAsia"/>
          <w:kern w:val="0"/>
          <w:sz w:val="33"/>
          <w:szCs w:val="33"/>
        </w:rPr>
        <w:t>。</w:t>
      </w:r>
    </w:p>
    <w:p>
      <w:pPr>
        <w:spacing w:line="600" w:lineRule="exact"/>
        <w:ind w:firstLine="640"/>
        <w:rPr>
          <w:rFonts w:eastAsia="方正仿宋_GBK"/>
          <w:kern w:val="0"/>
          <w:sz w:val="33"/>
          <w:szCs w:val="33"/>
        </w:rPr>
      </w:pPr>
      <w:r>
        <w:rPr>
          <w:rFonts w:eastAsia="方正仿宋_GBK" w:hint="eastAsia"/>
          <w:kern w:val="0"/>
          <w:sz w:val="33"/>
          <w:szCs w:val="33"/>
        </w:rPr>
        <w:br w:type="page"/>
      </w:r>
    </w:p>
    <w:p>
      <w:pPr>
        <w:numPr>
          <w:ilvl w:val="0"/>
          <w:numId w:val="3"/>
        </w:numPr>
        <w:spacing w:line="600" w:lineRule="exact"/>
        <w:ind w:left="0" w:firstLineChars="150" w:firstLine="570"/>
        <w:jc w:val="center"/>
        <w:outlineLvl w:val="0"/>
        <w:rPr>
          <w:rStyle w:val="1Char"/>
          <w:rFonts w:ascii="方正小标宋_GBK" w:eastAsia="方正小标宋_GBK"/>
          <w:b w:val="0"/>
          <w:sz w:val="38"/>
          <w:szCs w:val="38"/>
        </w:rPr>
      </w:pPr>
      <w:bookmarkStart w:id="121" w:name="_Toc176800684"/>
      <w:bookmarkStart w:id="122" w:name="_Toc176532157"/>
      <w:bookmarkStart w:id="123" w:name="_Toc15377225"/>
      <w:bookmarkStart w:id="124" w:name="_Toc15396613"/>
      <w:r>
        <w:rPr>
          <w:rFonts w:ascii="方正小标宋_GBK" w:eastAsia="方正小标宋_GBK" w:hint="eastAsia"/>
          <w:sz w:val="38"/>
          <w:szCs w:val="38"/>
        </w:rPr>
        <w:t>名</w:t>
      </w:r>
      <w:r>
        <w:rPr>
          <w:rStyle w:val="1Char"/>
          <w:rFonts w:ascii="方正小标宋_GBK" w:eastAsia="方正小标宋_GBK" w:hint="eastAsia"/>
          <w:b w:val="0"/>
          <w:sz w:val="38"/>
          <w:szCs w:val="38"/>
        </w:rPr>
        <w:t>词解释</w:t>
      </w:r>
      <w:bookmarkEnd w:id="121"/>
      <w:bookmarkEnd w:id="122"/>
      <w:bookmarkEnd w:id="123"/>
      <w:bookmarkEnd w:id="124"/>
    </w:p>
    <w:p>
      <w:pPr>
        <w:spacing w:line="600" w:lineRule="exact"/>
        <w:jc w:val="left"/>
        <w:rPr>
          <w:rFonts w:ascii="宋体"/>
          <w:b/>
          <w:sz w:val="44"/>
          <w:szCs w:val="44"/>
        </w:rPr>
      </w:pPr>
    </w:p>
    <w:p>
      <w:pPr>
        <w:pStyle w:val="32"/>
        <w:spacing w:line="560" w:lineRule="exact"/>
        <w:ind w:firstLineChars="200" w:firstLine="660"/>
        <w:rPr>
          <w:rFonts w:ascii="Times New Roman" w:eastAsia="仿宋_GB2312" w:cs="Times New Roman" w:hAnsi="Times New Roman"/>
          <w:color w:val="auto"/>
          <w:sz w:val="32"/>
          <w:szCs w:val="32"/>
        </w:rPr>
      </w:pPr>
      <w:r>
        <w:rPr>
          <w:rFonts w:ascii="Times New Roman" w:eastAsia="方正仿宋_GBK" w:cs="Times New Roman" w:hAnsi="Times New Roman"/>
          <w:color w:val="auto"/>
          <w:sz w:val="33"/>
          <w:szCs w:val="33"/>
        </w:rPr>
        <w:t>1.财政拨款收入：指单位从同级财政部门取得的财政预算资金</w:t>
      </w:r>
      <w:r>
        <w:rPr>
          <w:rFonts w:ascii="Times New Roman" w:eastAsia="仿宋_GB2312" w:cs="Times New Roman" w:hAnsi="Times New Roman"/>
          <w:color w:val="auto"/>
          <w:sz w:val="32"/>
          <w:szCs w:val="32"/>
        </w:rPr>
        <w:t>。</w:t>
      </w:r>
    </w:p>
    <w:p>
      <w:pPr>
        <w:pStyle w:val="32"/>
        <w:spacing w:line="560" w:lineRule="exact"/>
        <w:ind w:firstLineChars="200" w:firstLine="660"/>
        <w:rPr>
          <w:rFonts w:ascii="Times New Roman" w:eastAsia="方正仿宋_GBK" w:cs="Times New Roman" w:hAnsi="Times New Roman"/>
          <w:color w:val="auto"/>
          <w:sz w:val="33"/>
          <w:szCs w:val="33"/>
        </w:rPr>
      </w:pPr>
      <w:r>
        <w:rPr>
          <w:rFonts w:ascii="Times New Roman" w:eastAsia="方正仿宋_GBK" w:cs="Times New Roman" w:hAnsi="Times New Roman"/>
          <w:color w:val="auto"/>
          <w:sz w:val="33"/>
          <w:szCs w:val="33"/>
        </w:rPr>
        <w:t>2.事业收入：指事业单位开展专业业务活动及辅助活动取得的收入。</w:t>
      </w:r>
    </w:p>
    <w:p>
      <w:pPr>
        <w:pStyle w:val="32"/>
        <w:spacing w:line="560" w:lineRule="exact"/>
        <w:ind w:firstLineChars="200" w:firstLine="660"/>
        <w:rPr>
          <w:rFonts w:ascii="Times New Roman" w:eastAsia="方正仿宋_GBK" w:cs="Times New Roman" w:hAnsi="Times New Roman"/>
          <w:color w:val="auto"/>
          <w:sz w:val="33"/>
          <w:szCs w:val="33"/>
        </w:rPr>
      </w:pPr>
      <w:r>
        <w:rPr>
          <w:rFonts w:ascii="Times New Roman" w:eastAsia="方正仿宋_GBK" w:cs="Times New Roman" w:hAnsi="Times New Roman"/>
          <w:color w:val="auto"/>
          <w:sz w:val="33"/>
          <w:szCs w:val="33"/>
        </w:rPr>
        <w:t>3.经营收入：指事业单位在专业业务活动及其辅助活动之外开展非独立核算经营活动取得的收入。</w:t>
      </w:r>
    </w:p>
    <w:p>
      <w:pPr>
        <w:pStyle w:val="32"/>
        <w:spacing w:line="560" w:lineRule="exact"/>
        <w:ind w:firstLineChars="200" w:firstLine="660"/>
        <w:rPr>
          <w:rFonts w:ascii="Times New Roman" w:eastAsia="方正仿宋_GBK" w:cs="Times New Roman" w:hAnsi="Times New Roman"/>
          <w:color w:val="auto"/>
          <w:sz w:val="33"/>
          <w:szCs w:val="33"/>
        </w:rPr>
      </w:pPr>
      <w:r>
        <w:rPr>
          <w:rFonts w:ascii="Times New Roman" w:eastAsia="方正仿宋_GBK" w:cs="Times New Roman" w:hAnsi="Times New Roman"/>
          <w:color w:val="auto"/>
          <w:sz w:val="33"/>
          <w:szCs w:val="33"/>
        </w:rPr>
        <w:t>4.其他收入：指单位取得的除上述收入以外的各项收入。</w:t>
      </w:r>
    </w:p>
    <w:p>
      <w:pPr>
        <w:pStyle w:val="32"/>
        <w:spacing w:line="560" w:lineRule="exact"/>
        <w:ind w:firstLineChars="200" w:firstLine="660"/>
        <w:rPr>
          <w:rFonts w:ascii="Times New Roman" w:eastAsia="方正仿宋_GBK" w:cs="Times New Roman" w:hAnsi="Times New Roman"/>
          <w:color w:val="auto"/>
          <w:sz w:val="33"/>
          <w:szCs w:val="33"/>
        </w:rPr>
      </w:pPr>
      <w:r>
        <w:rPr>
          <w:rFonts w:ascii="Times New Roman" w:eastAsia="方正仿宋_GBK" w:cs="Times New Roman" w:hAnsi="Times New Roman"/>
          <w:color w:val="auto"/>
          <w:sz w:val="33"/>
          <w:szCs w:val="33"/>
        </w:rPr>
        <w:t>5.使用非财政拨款结余（含专用结余）：指事业单位使用以前年度积累的非财政拨款结余弥补当年收支差额的金额。</w:t>
      </w:r>
    </w:p>
    <w:p>
      <w:pPr>
        <w:pStyle w:val="32"/>
        <w:spacing w:line="560" w:lineRule="exact"/>
        <w:ind w:firstLineChars="200" w:firstLine="660"/>
        <w:rPr>
          <w:rFonts w:ascii="Times New Roman" w:eastAsia="方正仿宋_GBK" w:cs="Times New Roman" w:hAnsi="Times New Roman"/>
          <w:color w:val="auto"/>
          <w:sz w:val="33"/>
          <w:szCs w:val="33"/>
        </w:rPr>
      </w:pPr>
      <w:r>
        <w:rPr>
          <w:rFonts w:ascii="Times New Roman" w:eastAsia="方正仿宋_GBK" w:cs="Times New Roman" w:hAnsi="Times New Roman"/>
          <w:color w:val="auto"/>
          <w:sz w:val="33"/>
          <w:szCs w:val="33"/>
        </w:rPr>
        <w:t>6.年初结转和结余：指以前年度尚未完成、结转到本年按有关规定继续使用的资金。</w:t>
      </w:r>
    </w:p>
    <w:p>
      <w:pPr>
        <w:pStyle w:val="32"/>
        <w:spacing w:line="560" w:lineRule="exact"/>
        <w:ind w:firstLineChars="200" w:firstLine="660"/>
        <w:rPr>
          <w:rFonts w:ascii="Times New Roman" w:eastAsia="方正仿宋_GBK" w:cs="Times New Roman" w:hAnsi="Times New Roman"/>
          <w:color w:val="auto"/>
          <w:sz w:val="33"/>
          <w:szCs w:val="33"/>
        </w:rPr>
      </w:pPr>
      <w:r>
        <w:rPr>
          <w:rFonts w:ascii="Times New Roman" w:eastAsia="方正仿宋_GBK" w:cs="Times New Roman" w:hAnsi="Times New Roman"/>
          <w:color w:val="auto"/>
          <w:sz w:val="33"/>
          <w:szCs w:val="33"/>
        </w:rPr>
        <w:t>7.结余分配：指事业单位按照会计制度规定缴纳的所得税、提取的专用结余以及转入非财政拨款结余的金额等。</w:t>
      </w:r>
    </w:p>
    <w:p>
      <w:pPr>
        <w:pStyle w:val="32"/>
        <w:spacing w:line="560" w:lineRule="exact"/>
        <w:ind w:firstLineChars="200" w:firstLine="660"/>
        <w:rPr>
          <w:rFonts w:ascii="Times New Roman" w:eastAsia="方正仿宋_GBK" w:cs="Times New Roman" w:hAnsi="Times New Roman"/>
          <w:color w:val="auto"/>
          <w:sz w:val="33"/>
          <w:szCs w:val="33"/>
        </w:rPr>
      </w:pPr>
      <w:r>
        <w:rPr>
          <w:rFonts w:ascii="Times New Roman" w:eastAsia="方正仿宋_GBK" w:cs="Times New Roman" w:hAnsi="Times New Roman"/>
          <w:color w:val="auto"/>
          <w:sz w:val="33"/>
          <w:szCs w:val="33"/>
        </w:rPr>
        <w:t>8.年末结转和结余：指单位按有关规定结转到下年或以后年度继续使用的资金。</w:t>
      </w:r>
    </w:p>
    <w:p>
      <w:pPr>
        <w:spacing w:line="600" w:lineRule="exact"/>
        <w:ind w:firstLine="640"/>
        <w:rPr>
          <w:rFonts w:ascii="Times New Roman" w:eastAsia="方正仿宋_GBK" w:cs="Times New Roman" w:hAnsi="Times New Roman"/>
          <w:kern w:val="0"/>
          <w:sz w:val="33"/>
          <w:szCs w:val="33"/>
        </w:rPr>
      </w:pPr>
      <w:r>
        <w:rPr>
          <w:rFonts w:ascii="Times New Roman" w:eastAsia="方正仿宋_GBK" w:cs="Times New Roman" w:hAnsi="Times New Roman"/>
          <w:kern w:val="0"/>
          <w:sz w:val="33"/>
          <w:szCs w:val="33"/>
        </w:rPr>
        <w:t>9.一般公共服务支出（类）政协事务（款）行政运行（项）：指</w:t>
      </w:r>
      <w:r>
        <w:rPr>
          <w:rFonts w:ascii="Times New Roman" w:eastAsia="方正仿宋_GBK" w:cs="Times New Roman" w:hAnsi="Times New Roman"/>
          <w:sz w:val="33"/>
          <w:szCs w:val="33"/>
        </w:rPr>
        <w:t>中国人民政治协商会议四川省攀枝花市委员会办公室</w:t>
      </w:r>
      <w:r>
        <w:rPr>
          <w:rFonts w:ascii="Times New Roman" w:eastAsia="方正仿宋_GBK" w:cs="Times New Roman" w:hAnsi="Times New Roman"/>
          <w:kern w:val="0"/>
          <w:sz w:val="33"/>
          <w:szCs w:val="33"/>
        </w:rPr>
        <w:t>用于保障机关正常运行、开展日常工作的基本支出。</w:t>
      </w:r>
    </w:p>
    <w:p>
      <w:pPr>
        <w:spacing w:line="600" w:lineRule="exact"/>
        <w:ind w:firstLine="640"/>
        <w:rPr>
          <w:rFonts w:ascii="Times New Roman" w:eastAsia="方正仿宋_GBK" w:cs="Times New Roman" w:hAnsi="Times New Roman"/>
          <w:kern w:val="0"/>
          <w:sz w:val="33"/>
          <w:szCs w:val="33"/>
        </w:rPr>
      </w:pPr>
      <w:r>
        <w:rPr>
          <w:rFonts w:ascii="Times New Roman" w:eastAsia="方正仿宋_GBK" w:cs="Times New Roman" w:hAnsi="Times New Roman"/>
          <w:kern w:val="0"/>
          <w:sz w:val="33"/>
          <w:szCs w:val="33"/>
        </w:rPr>
        <w:t>10.一般公共服务支出（类）政协事务（款）政协会议（项）：指</w:t>
      </w:r>
      <w:r>
        <w:rPr>
          <w:rFonts w:ascii="Times New Roman" w:eastAsia="方正仿宋_GBK" w:cs="Times New Roman" w:hAnsi="Times New Roman"/>
          <w:sz w:val="33"/>
          <w:szCs w:val="33"/>
        </w:rPr>
        <w:t>中国人民政治协商会议四川省攀枝花市委员会办公室</w:t>
      </w:r>
      <w:r>
        <w:rPr>
          <w:rFonts w:ascii="Times New Roman" w:eastAsia="方正仿宋_GBK" w:cs="Times New Roman" w:hAnsi="Times New Roman"/>
          <w:kern w:val="0"/>
          <w:sz w:val="33"/>
          <w:szCs w:val="33"/>
        </w:rPr>
        <w:t>召开各类专门会议的支出。</w:t>
      </w:r>
    </w:p>
    <w:p>
      <w:pPr>
        <w:spacing w:line="600" w:lineRule="exact"/>
        <w:ind w:firstLine="640"/>
        <w:rPr>
          <w:rFonts w:ascii="Times New Roman" w:eastAsia="方正仿宋_GBK" w:cs="Times New Roman" w:hAnsi="Times New Roman"/>
          <w:kern w:val="0"/>
          <w:sz w:val="33"/>
          <w:szCs w:val="33"/>
        </w:rPr>
      </w:pPr>
      <w:r>
        <w:rPr>
          <w:rFonts w:ascii="Times New Roman" w:eastAsia="方正仿宋_GBK" w:cs="Times New Roman" w:hAnsi="Times New Roman"/>
          <w:kern w:val="0"/>
          <w:sz w:val="33"/>
          <w:szCs w:val="33"/>
        </w:rPr>
        <w:t>11.一般公共服务支出（类）政协事务（款）事业运行（项）：指</w:t>
      </w:r>
      <w:r>
        <w:rPr>
          <w:rFonts w:ascii="Times New Roman" w:eastAsia="方正仿宋_GBK" w:cs="Times New Roman" w:hAnsi="Times New Roman"/>
          <w:sz w:val="33"/>
          <w:szCs w:val="33"/>
        </w:rPr>
        <w:t>中国人民政治协商会议四川省攀枝花市委员会办公室</w:t>
      </w:r>
      <w:r>
        <w:rPr>
          <w:rFonts w:ascii="Times New Roman" w:eastAsia="方正仿宋_GBK" w:cs="Times New Roman" w:hAnsi="Times New Roman"/>
          <w:kern w:val="0"/>
          <w:sz w:val="33"/>
          <w:szCs w:val="33"/>
        </w:rPr>
        <w:t>用于保障委员联络服务中心正常运行、开展日常工作的基本支出。</w:t>
      </w:r>
    </w:p>
    <w:p>
      <w:pPr>
        <w:spacing w:line="600" w:lineRule="exact"/>
        <w:ind w:firstLine="640"/>
        <w:rPr>
          <w:rFonts w:ascii="Times New Roman" w:eastAsia="方正仿宋_GBK" w:cs="Times New Roman" w:hAnsi="Times New Roman"/>
          <w:kern w:val="0"/>
          <w:sz w:val="33"/>
          <w:szCs w:val="33"/>
        </w:rPr>
      </w:pPr>
      <w:r>
        <w:rPr>
          <w:rFonts w:ascii="Times New Roman" w:eastAsia="方正仿宋_GBK" w:cs="Times New Roman" w:hAnsi="Times New Roman"/>
          <w:kern w:val="0"/>
          <w:sz w:val="33"/>
          <w:szCs w:val="33"/>
        </w:rPr>
        <w:t>12.社会保障和就业支出（类）行政事业单位养老支出（款）行政单位离退休（项）：指</w:t>
      </w:r>
      <w:r>
        <w:rPr>
          <w:rFonts w:ascii="Times New Roman" w:eastAsia="方正仿宋_GBK" w:cs="Times New Roman" w:hAnsi="Times New Roman"/>
          <w:sz w:val="33"/>
          <w:szCs w:val="33"/>
        </w:rPr>
        <w:t>中国人民政治协商会议四川省攀枝花市委员会办公室</w:t>
      </w:r>
      <w:r>
        <w:rPr>
          <w:rFonts w:ascii="Times New Roman" w:eastAsia="方正仿宋_GBK" w:cs="Times New Roman" w:hAnsi="Times New Roman"/>
          <w:kern w:val="0"/>
          <w:sz w:val="33"/>
          <w:szCs w:val="33"/>
        </w:rPr>
        <w:t>离退休人员支出。</w:t>
      </w:r>
    </w:p>
    <w:p>
      <w:pPr>
        <w:spacing w:line="600" w:lineRule="exact"/>
        <w:ind w:firstLine="640"/>
        <w:rPr>
          <w:rFonts w:ascii="Times New Roman" w:eastAsia="方正仿宋_GBK" w:cs="Times New Roman" w:hAnsi="Times New Roman"/>
          <w:kern w:val="0"/>
          <w:sz w:val="33"/>
          <w:szCs w:val="33"/>
        </w:rPr>
      </w:pPr>
      <w:r>
        <w:rPr>
          <w:rFonts w:ascii="Times New Roman" w:eastAsia="方正仿宋_GBK" w:cs="Times New Roman" w:hAnsi="Times New Roman"/>
          <w:kern w:val="0"/>
          <w:sz w:val="33"/>
          <w:szCs w:val="33"/>
        </w:rPr>
        <w:t xml:space="preserve"> 13.机关运行经费：为保障行政单位（包括实行公务员管理的事业单位）运行用于购买货物和服务的各项资金，包括办公及印刷费、邮电费、差旅费、会议费、津补贴费、日常维修费、专用材料及一般设备购置费、办公用房水电费、办公用房取暖费、办公用房物业管理费、公务用车运行维护费以及其他费用。</w:t>
      </w:r>
    </w:p>
    <w:p>
      <w:pPr>
        <w:spacing w:line="600" w:lineRule="exact"/>
        <w:ind w:firstLine="640"/>
        <w:rPr>
          <w:rFonts w:ascii="Times New Roman" w:eastAsia="方正仿宋_GBK" w:cs="Times New Roman" w:hAnsi="Times New Roman"/>
          <w:kern w:val="0"/>
          <w:sz w:val="33"/>
          <w:szCs w:val="33"/>
        </w:rPr>
      </w:pPr>
      <w:r>
        <w:rPr>
          <w:rFonts w:ascii="Times New Roman" w:eastAsia="方正仿宋_GBK" w:cs="Times New Roman" w:hAnsi="Times New Roman"/>
          <w:kern w:val="0"/>
          <w:sz w:val="33"/>
          <w:szCs w:val="33"/>
        </w:rPr>
        <w:t>14.“三公”经费：纳入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维护费反映单位公务用车购置支出（含车辆购置税、牌照费）及按规定保留的公务用车燃料费、维修费、过路过桥费、保险费、安全奖励费用等支出；公务接待费反映单位按规定开支的各类公务接待（含外宾接待）费用。</w:t>
      </w:r>
    </w:p>
    <w:p>
      <w:pPr>
        <w:spacing w:line="600" w:lineRule="exact"/>
        <w:ind w:left="495"/>
        <w:jc w:val="center"/>
        <w:outlineLvl w:val="0"/>
        <w:rPr>
          <w:rFonts w:ascii="仿宋" w:eastAsia="仿宋"/>
          <w:b/>
          <w:sz w:val="32"/>
          <w:szCs w:val="32"/>
        </w:rPr>
      </w:pPr>
      <w:r>
        <w:rPr>
          <w:rFonts w:ascii="方正仿宋_GBK" w:eastAsia="方正仿宋_GBK" w:cs="仿宋"/>
          <w:kern w:val="0"/>
          <w:sz w:val="33"/>
          <w:szCs w:val="33"/>
        </w:rPr>
        <w:br w:type="page"/>
      </w:r>
      <w:bookmarkStart w:id="125" w:name="_Toc176800685"/>
      <w:r>
        <w:rPr>
          <w:rFonts w:ascii="方正小标宋_GBK" w:eastAsia="方正小标宋_GBK" w:hint="eastAsia"/>
          <w:sz w:val="38"/>
          <w:szCs w:val="38"/>
        </w:rPr>
        <w:t>第四部分 附件</w:t>
      </w:r>
      <w:bookmarkEnd w:id="125"/>
    </w:p>
    <w:p/>
    <w:p>
      <w:pPr>
        <w:rPr>
          <w:rFonts w:ascii="方正仿宋_GBK" w:eastAsia="方正仿宋_GBK" w:hint="eastAsia"/>
          <w:sz w:val="33"/>
          <w:szCs w:val="33"/>
        </w:rPr>
      </w:pPr>
      <w:r>
        <w:rPr>
          <w:rFonts w:ascii="方正仿宋_GBK" w:eastAsia="方正仿宋_GBK" w:hint="eastAsia"/>
          <w:sz w:val="33"/>
          <w:szCs w:val="33"/>
        </w:rPr>
        <w:t>附件1</w:t>
      </w:r>
    </w:p>
    <w:p>
      <w:pPr>
        <w:spacing w:line="600" w:lineRule="exact"/>
        <w:ind w:left="495"/>
        <w:jc w:val="center"/>
        <w:outlineLvl w:val="0"/>
        <w:rPr>
          <w:rFonts w:ascii="方正小标宋_GBK" w:eastAsia="方正小标宋_GBK"/>
          <w:sz w:val="38"/>
          <w:szCs w:val="38"/>
        </w:rPr>
      </w:pPr>
      <w:r>
        <w:rPr>
          <w:rFonts w:ascii="方正小标宋_GBK" w:eastAsia="方正小标宋_GBK" w:hint="eastAsia"/>
          <w:sz w:val="38"/>
          <w:szCs w:val="38"/>
        </w:rPr>
        <w:t>部门预算绩效评价报告</w:t>
      </w:r>
    </w:p>
    <w:p/>
    <w:p>
      <w:pPr>
        <w:rPr>
          <w:rFonts w:ascii="方正黑体_GBK" w:eastAsia="方正黑体_GBK"/>
          <w:sz w:val="33"/>
          <w:szCs w:val="33"/>
        </w:rPr>
      </w:pPr>
      <w:r>
        <w:rPr>
          <w:rFonts w:ascii="方正黑体_GBK" w:eastAsia="方正黑体_GBK" w:hint="eastAsia"/>
          <w:sz w:val="33"/>
          <w:szCs w:val="33"/>
        </w:rPr>
        <w:t xml:space="preserve">     一、部门基本情况</w:t>
      </w:r>
    </w:p>
    <w:p>
      <w:pPr>
        <w:spacing w:line="600" w:lineRule="exact"/>
        <w:ind w:firstLineChars="200" w:firstLine="660"/>
        <w:outlineLvl w:val="2"/>
        <w:rPr>
          <w:rFonts w:ascii="方正楷体_GBK" w:eastAsia="方正楷体_GBK"/>
          <w:b/>
          <w:sz w:val="33"/>
          <w:szCs w:val="33"/>
        </w:rPr>
      </w:pPr>
      <w:r>
        <w:rPr>
          <w:rFonts w:ascii="方正楷体_GBK" w:eastAsia="方正楷体_GBK" w:hint="eastAsia"/>
          <w:b/>
          <w:sz w:val="33"/>
          <w:szCs w:val="33"/>
        </w:rPr>
        <w:t>（一）机构组成。</w:t>
      </w:r>
    </w:p>
    <w:p>
      <w:pPr>
        <w:widowControl/>
        <w:adjustRightInd w:val="0"/>
        <w:snapToGrid w:val="0"/>
        <w:spacing w:line="580" w:lineRule="exact"/>
        <w:ind w:firstLineChars="200" w:firstLine="660"/>
        <w:contextualSpacing/>
        <w:jc w:val="left"/>
        <w:rPr>
          <w:color w:val="000000"/>
          <w:kern w:val="0"/>
          <w:szCs w:val="32"/>
          <w:shd w:val="clear" w:color="auto" w:fill="FFFFFF"/>
          <w:lang w:val="zh-CN"/>
        </w:rPr>
      </w:pPr>
      <w:r>
        <w:rPr>
          <w:rFonts w:eastAsia="方正仿宋_GBK"/>
          <w:sz w:val="33"/>
          <w:szCs w:val="33"/>
        </w:rPr>
        <w:t>本部门由机关本级和</w:t>
      </w:r>
      <w:r>
        <w:rPr>
          <w:rFonts w:eastAsia="方正仿宋_GBK" w:hint="eastAsia"/>
          <w:color w:val="000000"/>
          <w:sz w:val="33"/>
          <w:szCs w:val="33"/>
        </w:rPr>
        <w:t>27</w:t>
      </w:r>
      <w:r>
        <w:rPr>
          <w:rFonts w:eastAsia="方正仿宋_GBK"/>
          <w:sz w:val="33"/>
          <w:szCs w:val="33"/>
        </w:rPr>
        <w:t>个内设机构组成。</w:t>
      </w:r>
    </w:p>
    <w:p>
      <w:pPr>
        <w:spacing w:line="600" w:lineRule="exact"/>
        <w:ind w:firstLineChars="200" w:firstLine="660"/>
        <w:outlineLvl w:val="2"/>
        <w:rPr>
          <w:rFonts w:ascii="方正楷体_GBK" w:eastAsia="方正楷体_GBK"/>
          <w:b/>
          <w:sz w:val="33"/>
          <w:szCs w:val="33"/>
        </w:rPr>
      </w:pPr>
      <w:r>
        <w:rPr>
          <w:rFonts w:ascii="方正楷体_GBK" w:eastAsia="方正楷体_GBK" w:hint="eastAsia"/>
          <w:b/>
          <w:sz w:val="33"/>
          <w:szCs w:val="33"/>
        </w:rPr>
        <w:t>（二）机构职能。</w:t>
      </w:r>
    </w:p>
    <w:p>
      <w:pPr>
        <w:snapToGrid w:val="0"/>
        <w:spacing w:line="620" w:lineRule="exact"/>
        <w:ind w:firstLineChars="200" w:firstLine="660"/>
        <w:rPr>
          <w:rFonts w:ascii="方正仿宋_GBK" w:eastAsia="方正仿宋_GBK"/>
          <w:sz w:val="33"/>
          <w:szCs w:val="33"/>
        </w:rPr>
      </w:pPr>
      <w:r>
        <w:rPr>
          <w:rFonts w:eastAsia="方正仿宋_GBK"/>
          <w:sz w:val="33"/>
          <w:szCs w:val="33"/>
        </w:rPr>
        <w:t>中国人民政治协商会议四川省攀枝花市委员会办公室</w:t>
      </w:r>
      <w:r>
        <w:rPr>
          <w:rFonts w:ascii="方正仿宋_GBK" w:eastAsia="方正仿宋_GBK" w:hint="eastAsia"/>
          <w:sz w:val="33"/>
          <w:szCs w:val="33"/>
        </w:rPr>
        <w:t>是</w:t>
      </w:r>
      <w:r>
        <w:rPr>
          <w:rFonts w:eastAsia="方正仿宋_GBK"/>
          <w:sz w:val="33"/>
          <w:szCs w:val="33"/>
        </w:rPr>
        <w:t>中国人民政治协商会议四川省攀枝花市委员会</w:t>
      </w:r>
      <w:r>
        <w:rPr>
          <w:rFonts w:ascii="方正仿宋_GBK" w:eastAsia="方正仿宋_GBK" w:hint="eastAsia"/>
          <w:sz w:val="33"/>
          <w:szCs w:val="33"/>
        </w:rPr>
        <w:t>的工作机构，承担为市政协履行政治协商、民主监督、参政议政职能服务的各项工作。</w:t>
      </w:r>
    </w:p>
    <w:p>
      <w:pPr>
        <w:snapToGrid w:val="0"/>
        <w:spacing w:line="620" w:lineRule="exact"/>
        <w:ind w:firstLineChars="200" w:firstLine="660"/>
        <w:rPr>
          <w:rFonts w:ascii="Times New Roman" w:eastAsia="方正仿宋_GBK" w:cs="Times New Roman" w:hAnsi="Times New Roman"/>
          <w:sz w:val="33"/>
          <w:szCs w:val="33"/>
        </w:rPr>
      </w:pPr>
      <w:r>
        <w:rPr>
          <w:rFonts w:ascii="Times New Roman" w:eastAsia="方正仿宋_GBK" w:cs="Times New Roman" w:hAnsi="Times New Roman"/>
          <w:sz w:val="33"/>
          <w:szCs w:val="33"/>
        </w:rPr>
        <w:t>1.负责政协攀枝花市委员会全体会议、常委会会议、主席会议、秘书长会议和其他重要会议的会务工作。</w:t>
      </w:r>
    </w:p>
    <w:p>
      <w:pPr>
        <w:snapToGrid w:val="0"/>
        <w:spacing w:line="620" w:lineRule="exact"/>
        <w:ind w:firstLineChars="200" w:firstLine="660"/>
        <w:rPr>
          <w:rFonts w:ascii="Times New Roman" w:eastAsia="方正仿宋_GBK" w:cs="Times New Roman" w:hAnsi="Times New Roman"/>
          <w:sz w:val="33"/>
          <w:szCs w:val="33"/>
        </w:rPr>
      </w:pPr>
      <w:r>
        <w:rPr>
          <w:rFonts w:ascii="Times New Roman" w:eastAsia="方正仿宋_GBK" w:cs="Times New Roman" w:hAnsi="Times New Roman"/>
          <w:sz w:val="33"/>
          <w:szCs w:val="33"/>
        </w:rPr>
        <w:t>2.组织实施政协攀枝花市委员会全体会议、常委会会议、主席会议的决议和决定。</w:t>
      </w:r>
    </w:p>
    <w:p>
      <w:pPr>
        <w:snapToGrid w:val="0"/>
        <w:spacing w:line="620" w:lineRule="exact"/>
        <w:ind w:firstLineChars="200" w:firstLine="660"/>
        <w:rPr>
          <w:rFonts w:ascii="Times New Roman" w:eastAsia="方正仿宋_GBK" w:cs="Times New Roman" w:hAnsi="Times New Roman"/>
          <w:sz w:val="33"/>
          <w:szCs w:val="33"/>
        </w:rPr>
      </w:pPr>
      <w:r>
        <w:rPr>
          <w:rFonts w:ascii="Times New Roman" w:eastAsia="方正仿宋_GBK" w:cs="Times New Roman" w:hAnsi="Times New Roman"/>
          <w:sz w:val="33"/>
          <w:szCs w:val="33"/>
        </w:rPr>
        <w:t>3.负责市政协组织的调查、视察、考察和其他各种活动的协调与服务工作。</w:t>
      </w:r>
    </w:p>
    <w:p>
      <w:pPr>
        <w:snapToGrid w:val="0"/>
        <w:spacing w:line="620" w:lineRule="exact"/>
        <w:ind w:firstLineChars="200" w:firstLine="660"/>
        <w:rPr>
          <w:rFonts w:eastAsia="方正仿宋_GBK"/>
          <w:sz w:val="33"/>
          <w:szCs w:val="33"/>
        </w:rPr>
      </w:pPr>
      <w:r>
        <w:rPr>
          <w:rFonts w:eastAsia="方正仿宋_GBK"/>
          <w:sz w:val="33"/>
          <w:szCs w:val="33"/>
        </w:rPr>
        <w:t>4.负责政协工作情况的对内对外宣传，收集反映各族各界人士的意见和建议。</w:t>
      </w:r>
    </w:p>
    <w:p>
      <w:pPr>
        <w:snapToGrid w:val="0"/>
        <w:spacing w:line="620" w:lineRule="exact"/>
        <w:ind w:firstLineChars="200" w:firstLine="660"/>
        <w:rPr>
          <w:rFonts w:eastAsia="方正仿宋_GBK"/>
          <w:sz w:val="33"/>
          <w:szCs w:val="33"/>
        </w:rPr>
      </w:pPr>
      <w:r>
        <w:rPr>
          <w:rFonts w:eastAsia="方正仿宋_GBK"/>
          <w:sz w:val="33"/>
          <w:szCs w:val="33"/>
        </w:rPr>
        <w:t>5.密切联系市委、市人大常委会、市政府办公室、市级各部门和县（区）政协以及大企业统战部（科），相互配合，协调工作。</w:t>
      </w:r>
    </w:p>
    <w:p>
      <w:pPr>
        <w:snapToGrid w:val="0"/>
        <w:spacing w:line="620" w:lineRule="exact"/>
        <w:ind w:firstLineChars="200" w:firstLine="660"/>
        <w:rPr>
          <w:rFonts w:eastAsia="方正仿宋_GBK"/>
          <w:sz w:val="33"/>
          <w:szCs w:val="33"/>
        </w:rPr>
      </w:pPr>
      <w:r>
        <w:rPr>
          <w:rFonts w:eastAsia="方正仿宋_GBK"/>
          <w:sz w:val="33"/>
          <w:szCs w:val="33"/>
        </w:rPr>
        <w:t>6.密切联系市政协委员，为他们参政议政搞好服务。</w:t>
      </w:r>
    </w:p>
    <w:p>
      <w:pPr>
        <w:snapToGrid w:val="0"/>
        <w:spacing w:line="620" w:lineRule="exact"/>
        <w:ind w:firstLineChars="200" w:firstLine="660"/>
        <w:rPr>
          <w:rFonts w:eastAsia="方正仿宋_GBK"/>
          <w:sz w:val="33"/>
          <w:szCs w:val="33"/>
        </w:rPr>
      </w:pPr>
      <w:r>
        <w:rPr>
          <w:rFonts w:eastAsia="方正仿宋_GBK"/>
          <w:sz w:val="33"/>
          <w:szCs w:val="33"/>
        </w:rPr>
        <w:t>7.负责市政协机关各种接待和联络工作。</w:t>
      </w:r>
    </w:p>
    <w:p>
      <w:pPr>
        <w:snapToGrid w:val="0"/>
        <w:spacing w:line="620" w:lineRule="exact"/>
        <w:ind w:firstLineChars="200" w:firstLine="660"/>
        <w:rPr>
          <w:rFonts w:eastAsia="方正仿宋_GBK"/>
          <w:sz w:val="33"/>
          <w:szCs w:val="33"/>
        </w:rPr>
      </w:pPr>
      <w:r>
        <w:rPr>
          <w:rFonts w:eastAsia="方正仿宋_GBK"/>
          <w:sz w:val="33"/>
          <w:szCs w:val="33"/>
        </w:rPr>
        <w:t>8.负责市政协机关的各项管理工作以及履行职能的后勤保障和经费管理等工作。</w:t>
      </w:r>
    </w:p>
    <w:p>
      <w:pPr>
        <w:snapToGrid w:val="0"/>
        <w:spacing w:line="620" w:lineRule="exact"/>
        <w:ind w:firstLineChars="200" w:firstLine="660"/>
        <w:rPr>
          <w:rFonts w:eastAsia="方正仿宋_GBK"/>
          <w:spacing w:val="-6"/>
          <w:sz w:val="33"/>
          <w:szCs w:val="33"/>
        </w:rPr>
      </w:pPr>
      <w:r>
        <w:rPr>
          <w:rFonts w:eastAsia="方正仿宋_GBK"/>
          <w:sz w:val="33"/>
          <w:szCs w:val="33"/>
        </w:rPr>
        <w:t>9.</w:t>
      </w:r>
      <w:r>
        <w:rPr>
          <w:rFonts w:eastAsia="方正仿宋_GBK"/>
          <w:spacing w:val="-6"/>
          <w:sz w:val="33"/>
          <w:szCs w:val="33"/>
        </w:rPr>
        <w:t>负责权限范围内的人事任免和市政协机关自身建设工作。</w:t>
      </w:r>
    </w:p>
    <w:p>
      <w:pPr>
        <w:snapToGrid w:val="0"/>
        <w:spacing w:line="620" w:lineRule="exact"/>
        <w:ind w:firstLineChars="200" w:firstLine="660"/>
        <w:rPr>
          <w:rFonts w:eastAsia="方正仿宋_GBK"/>
          <w:sz w:val="33"/>
          <w:szCs w:val="33"/>
        </w:rPr>
      </w:pPr>
      <w:r>
        <w:rPr>
          <w:rFonts w:eastAsia="方正仿宋_GBK"/>
          <w:sz w:val="33"/>
          <w:szCs w:val="33"/>
        </w:rPr>
        <w:t>10.承担市政协领导交办的其他事项。</w:t>
      </w:r>
    </w:p>
    <w:p>
      <w:pPr>
        <w:widowControl/>
        <w:adjustRightInd w:val="0"/>
        <w:snapToGrid w:val="0"/>
        <w:spacing w:line="580" w:lineRule="exact"/>
        <w:ind w:firstLineChars="200" w:firstLine="660"/>
        <w:contextualSpacing/>
        <w:jc w:val="left"/>
        <w:rPr>
          <w:color w:val="000000"/>
          <w:kern w:val="0"/>
          <w:szCs w:val="32"/>
          <w:shd w:val="clear" w:color="auto" w:fill="FFFFFF"/>
          <w:lang w:val="zh-CN"/>
        </w:rPr>
      </w:pPr>
      <w:r>
        <w:rPr>
          <w:rFonts w:ascii="方正楷体_GBK" w:eastAsia="方正楷体_GBK" w:hint="eastAsia"/>
          <w:b/>
          <w:sz w:val="33"/>
          <w:szCs w:val="33"/>
        </w:rPr>
        <w:t>（三）人员概况。</w:t>
      </w:r>
      <w:r>
        <w:rPr>
          <w:rFonts w:ascii="仿宋_GB2312" w:eastAsia="仿宋_GB2312" w:hint="eastAsia"/>
          <w:sz w:val="32"/>
          <w:szCs w:val="32"/>
        </w:rPr>
        <w:t>截至</w:t>
      </w:r>
      <w:r>
        <w:rPr>
          <w:rFonts w:ascii="Times New Roman" w:eastAsia="仿宋_GB2312" w:cs="Times New Roman" w:hAnsi="Times New Roman"/>
          <w:sz w:val="32"/>
          <w:szCs w:val="32"/>
        </w:rPr>
        <w:t>2023</w:t>
      </w:r>
      <w:r>
        <w:rPr>
          <w:rFonts w:ascii="仿宋_GB2312" w:eastAsia="仿宋_GB2312" w:hint="eastAsia"/>
          <w:sz w:val="32"/>
          <w:szCs w:val="32"/>
        </w:rPr>
        <w:t>年末，</w:t>
      </w:r>
      <w:r>
        <w:rPr>
          <w:rFonts w:hint="eastAsia"/>
          <w:sz w:val="32"/>
          <w:szCs w:val="32"/>
        </w:rPr>
        <w:t>本</w:t>
      </w:r>
      <w:r>
        <w:rPr>
          <w:rFonts w:ascii="仿宋_GB2312" w:eastAsia="仿宋_GB2312" w:hint="eastAsia"/>
          <w:sz w:val="32"/>
          <w:szCs w:val="32"/>
        </w:rPr>
        <w:t>部门</w:t>
      </w:r>
      <w:r>
        <w:rPr>
          <w:rFonts w:eastAsia="方正仿宋_GBK"/>
          <w:sz w:val="33"/>
          <w:szCs w:val="33"/>
        </w:rPr>
        <w:t>机关在职行政正式职工</w:t>
      </w:r>
      <w:r>
        <w:rPr>
          <w:rFonts w:eastAsia="方正仿宋_GBK" w:hint="eastAsia"/>
          <w:sz w:val="33"/>
          <w:szCs w:val="33"/>
        </w:rPr>
        <w:t>46</w:t>
      </w:r>
      <w:r>
        <w:rPr>
          <w:rFonts w:eastAsia="方正仿宋_GBK"/>
          <w:sz w:val="33"/>
          <w:szCs w:val="33"/>
        </w:rPr>
        <w:t>人，聘用8人，</w:t>
      </w:r>
      <w:r>
        <w:rPr>
          <w:rFonts w:eastAsia="方正仿宋_GBK" w:hint="eastAsia"/>
          <w:sz w:val="33"/>
          <w:szCs w:val="33"/>
        </w:rPr>
        <w:t>在职正式事业职工7人，</w:t>
      </w:r>
      <w:r>
        <w:rPr>
          <w:rFonts w:eastAsia="方正仿宋_GBK"/>
          <w:sz w:val="33"/>
          <w:szCs w:val="33"/>
        </w:rPr>
        <w:t>离休</w:t>
      </w:r>
      <w:r>
        <w:rPr>
          <w:rFonts w:eastAsia="方正仿宋_GBK" w:hint="eastAsia"/>
          <w:sz w:val="33"/>
          <w:szCs w:val="33"/>
        </w:rPr>
        <w:t>5</w:t>
      </w:r>
      <w:r>
        <w:rPr>
          <w:rFonts w:eastAsia="方正仿宋_GBK"/>
          <w:sz w:val="33"/>
          <w:szCs w:val="33"/>
        </w:rPr>
        <w:t>人，退休</w:t>
      </w:r>
      <w:r>
        <w:rPr>
          <w:rFonts w:eastAsia="方正仿宋_GBK" w:hint="eastAsia"/>
          <w:sz w:val="33"/>
          <w:szCs w:val="33"/>
        </w:rPr>
        <w:t>49</w:t>
      </w:r>
      <w:r>
        <w:rPr>
          <w:rFonts w:eastAsia="方正仿宋_GBK"/>
          <w:sz w:val="33"/>
          <w:szCs w:val="33"/>
        </w:rPr>
        <w:t>人，关系未转县级及以上人员</w:t>
      </w:r>
      <w:r>
        <w:rPr>
          <w:rFonts w:eastAsia="方正仿宋_GBK" w:hint="eastAsia"/>
          <w:sz w:val="33"/>
          <w:szCs w:val="33"/>
        </w:rPr>
        <w:t>32</w:t>
      </w:r>
      <w:r>
        <w:rPr>
          <w:rFonts w:eastAsia="方正仿宋_GBK"/>
          <w:sz w:val="33"/>
          <w:szCs w:val="33"/>
        </w:rPr>
        <w:t>人。</w:t>
      </w:r>
    </w:p>
    <w:p>
      <w:pPr>
        <w:rPr>
          <w:rFonts w:ascii="方正黑体_GBK" w:eastAsia="方正黑体_GBK"/>
          <w:sz w:val="33"/>
          <w:szCs w:val="33"/>
        </w:rPr>
      </w:pPr>
      <w:r>
        <w:rPr>
          <w:rFonts w:ascii="方正黑体_GBK" w:eastAsia="方正黑体_GBK" w:hint="eastAsia"/>
          <w:sz w:val="33"/>
          <w:szCs w:val="33"/>
        </w:rPr>
        <w:t xml:space="preserve">     二、部门资金收支情况</w:t>
      </w:r>
    </w:p>
    <w:p>
      <w:pPr>
        <w:widowControl/>
        <w:adjustRightInd w:val="0"/>
        <w:snapToGrid w:val="0"/>
        <w:spacing w:line="580" w:lineRule="exact"/>
        <w:ind w:firstLineChars="200" w:firstLine="660"/>
        <w:contextualSpacing/>
        <w:jc w:val="left"/>
        <w:rPr>
          <w:rFonts w:ascii="方正楷体_GBK" w:eastAsia="方正楷体_GBK"/>
          <w:b/>
          <w:sz w:val="33"/>
          <w:szCs w:val="33"/>
        </w:rPr>
      </w:pPr>
      <w:r>
        <w:rPr>
          <w:rFonts w:ascii="方正楷体_GBK" w:eastAsia="方正楷体_GBK" w:hint="eastAsia"/>
          <w:b/>
          <w:sz w:val="33"/>
          <w:szCs w:val="33"/>
        </w:rPr>
        <w:t>（一）收入情况</w:t>
      </w:r>
    </w:p>
    <w:p>
      <w:pPr>
        <w:widowControl/>
        <w:adjustRightInd w:val="0"/>
        <w:snapToGrid w:val="0"/>
        <w:spacing w:line="580" w:lineRule="exact"/>
        <w:ind w:firstLineChars="200" w:firstLine="660"/>
        <w:contextualSpacing/>
        <w:jc w:val="left"/>
        <w:rPr>
          <w:rFonts w:eastAsia="方正仿宋_GBK"/>
          <w:sz w:val="33"/>
          <w:szCs w:val="33"/>
        </w:rPr>
      </w:pPr>
      <w:r>
        <w:rPr>
          <w:rFonts w:eastAsia="方正仿宋_GBK"/>
          <w:sz w:val="33"/>
          <w:szCs w:val="33"/>
        </w:rPr>
        <w:t>中国人民政治协商会议四川省攀枝花市委员会办公室</w:t>
      </w:r>
      <w:r>
        <w:rPr>
          <w:rFonts w:eastAsia="方正仿宋_GBK" w:hint="eastAsia"/>
          <w:sz w:val="33"/>
          <w:szCs w:val="33"/>
        </w:rPr>
        <w:t>2023年财政</w:t>
      </w:r>
      <w:r>
        <w:rPr>
          <w:rFonts w:eastAsia="方正仿宋_GBK"/>
          <w:sz w:val="33"/>
          <w:szCs w:val="33"/>
        </w:rPr>
        <w:t>年初预算数</w:t>
      </w:r>
      <w:r>
        <w:rPr>
          <w:rFonts w:eastAsia="方正仿宋_GBK" w:hint="eastAsia"/>
          <w:sz w:val="33"/>
          <w:szCs w:val="33"/>
        </w:rPr>
        <w:t>2130.18</w:t>
      </w:r>
      <w:r>
        <w:rPr>
          <w:rFonts w:eastAsia="方正仿宋_GBK"/>
          <w:sz w:val="33"/>
          <w:szCs w:val="33"/>
        </w:rPr>
        <w:t>万元。全年收入</w:t>
      </w:r>
      <w:r>
        <w:rPr>
          <w:rFonts w:eastAsia="方正仿宋_GBK" w:hint="eastAsia"/>
          <w:sz w:val="33"/>
          <w:szCs w:val="33"/>
        </w:rPr>
        <w:t>2277.79</w:t>
      </w:r>
      <w:r>
        <w:rPr>
          <w:rFonts w:eastAsia="方正仿宋_GBK"/>
          <w:sz w:val="33"/>
          <w:szCs w:val="33"/>
        </w:rPr>
        <w:t>万元，其中：财政拨款收入</w:t>
      </w:r>
      <w:r>
        <w:rPr>
          <w:rFonts w:eastAsia="方正仿宋_GBK" w:hint="eastAsia"/>
          <w:sz w:val="33"/>
          <w:szCs w:val="33"/>
        </w:rPr>
        <w:t>2277.79</w:t>
      </w:r>
      <w:r>
        <w:rPr>
          <w:rFonts w:eastAsia="方正仿宋_GBK"/>
          <w:sz w:val="33"/>
          <w:szCs w:val="33"/>
        </w:rPr>
        <w:t>万元，占</w:t>
      </w:r>
      <w:r>
        <w:rPr>
          <w:rFonts w:eastAsia="方正仿宋_GBK" w:hint="eastAsia"/>
          <w:sz w:val="33"/>
          <w:szCs w:val="33"/>
        </w:rPr>
        <w:t>100</w:t>
      </w:r>
      <w:r>
        <w:rPr>
          <w:rFonts w:eastAsia="方正仿宋_GBK"/>
          <w:sz w:val="33"/>
          <w:szCs w:val="33"/>
        </w:rPr>
        <w:t>%</w:t>
      </w:r>
      <w:r>
        <w:rPr>
          <w:rFonts w:eastAsia="方正仿宋_GBK" w:hint="eastAsia"/>
          <w:sz w:val="33"/>
          <w:szCs w:val="33"/>
        </w:rPr>
        <w:t>。</w:t>
      </w:r>
      <w:r>
        <w:rPr>
          <w:rFonts w:eastAsia="方正仿宋_GBK"/>
          <w:sz w:val="33"/>
          <w:szCs w:val="33"/>
        </w:rPr>
        <w:t xml:space="preserve"> </w:t>
      </w:r>
    </w:p>
    <w:p>
      <w:pPr>
        <w:widowControl/>
        <w:adjustRightInd w:val="0"/>
        <w:snapToGrid w:val="0"/>
        <w:spacing w:line="580" w:lineRule="exact"/>
        <w:ind w:firstLineChars="200" w:firstLine="660"/>
        <w:contextualSpacing/>
        <w:jc w:val="left"/>
        <w:rPr>
          <w:rFonts w:ascii="方正楷体_GBK" w:eastAsia="方正楷体_GBK"/>
          <w:b/>
          <w:sz w:val="33"/>
          <w:szCs w:val="33"/>
        </w:rPr>
      </w:pPr>
      <w:r>
        <w:rPr>
          <w:rFonts w:ascii="方正楷体_GBK" w:eastAsia="方正楷体_GBK" w:hint="eastAsia"/>
          <w:b/>
          <w:sz w:val="33"/>
          <w:szCs w:val="33"/>
        </w:rPr>
        <w:t>（二）支出情况</w:t>
      </w:r>
    </w:p>
    <w:p>
      <w:pPr>
        <w:widowControl/>
        <w:adjustRightInd w:val="0"/>
        <w:snapToGrid w:val="0"/>
        <w:spacing w:line="580" w:lineRule="exact"/>
        <w:ind w:firstLineChars="200" w:firstLine="660"/>
        <w:contextualSpacing/>
        <w:jc w:val="left"/>
        <w:rPr>
          <w:rFonts w:eastAsia="方正仿宋_GBK"/>
          <w:sz w:val="33"/>
          <w:szCs w:val="33"/>
        </w:rPr>
      </w:pPr>
      <w:r>
        <w:rPr>
          <w:rFonts w:eastAsia="方正仿宋_GBK" w:hint="eastAsia"/>
          <w:sz w:val="33"/>
          <w:szCs w:val="33"/>
        </w:rPr>
        <w:t>2023</w:t>
      </w:r>
      <w:r>
        <w:rPr>
          <w:rFonts w:eastAsia="方正仿宋_GBK"/>
          <w:sz w:val="33"/>
          <w:szCs w:val="33"/>
        </w:rPr>
        <w:t>年中国人民政治协商会议四川省攀枝花市委员会办公室</w:t>
      </w:r>
      <w:r>
        <w:rPr>
          <w:rFonts w:eastAsia="方正仿宋_GBK" w:hint="eastAsia"/>
          <w:sz w:val="33"/>
          <w:szCs w:val="33"/>
        </w:rPr>
        <w:t>年初财政预算和决算报表</w:t>
      </w:r>
      <w:r>
        <w:rPr>
          <w:rFonts w:eastAsia="方正仿宋_GBK"/>
          <w:sz w:val="33"/>
          <w:szCs w:val="33"/>
        </w:rPr>
        <w:t>支出合计</w:t>
      </w:r>
      <w:r>
        <w:rPr>
          <w:rFonts w:eastAsia="方正仿宋_GBK" w:hint="eastAsia"/>
          <w:sz w:val="33"/>
          <w:szCs w:val="33"/>
        </w:rPr>
        <w:t>均为2277.79</w:t>
      </w:r>
      <w:r>
        <w:rPr>
          <w:rFonts w:eastAsia="方正仿宋_GBK"/>
          <w:sz w:val="33"/>
          <w:szCs w:val="33"/>
        </w:rPr>
        <w:t>万元，其中：基本支出</w:t>
      </w:r>
      <w:r>
        <w:rPr>
          <w:rFonts w:eastAsia="方正仿宋_GBK" w:hint="eastAsia"/>
          <w:sz w:val="33"/>
          <w:szCs w:val="33"/>
        </w:rPr>
        <w:t>1826.49</w:t>
      </w:r>
      <w:r>
        <w:rPr>
          <w:rFonts w:eastAsia="方正仿宋_GBK"/>
          <w:sz w:val="33"/>
          <w:szCs w:val="33"/>
        </w:rPr>
        <w:t>万元，占</w:t>
      </w:r>
      <w:r>
        <w:rPr>
          <w:rFonts w:eastAsia="方正仿宋_GBK" w:hint="eastAsia"/>
          <w:sz w:val="33"/>
          <w:szCs w:val="33"/>
        </w:rPr>
        <w:t>80.19</w:t>
      </w:r>
      <w:r>
        <w:rPr>
          <w:rFonts w:eastAsia="方正仿宋_GBK"/>
          <w:sz w:val="33"/>
          <w:szCs w:val="33"/>
        </w:rPr>
        <w:t>%；项目支出</w:t>
      </w:r>
      <w:r>
        <w:rPr>
          <w:rFonts w:eastAsia="方正仿宋_GBK" w:hint="eastAsia"/>
          <w:sz w:val="33"/>
          <w:szCs w:val="33"/>
        </w:rPr>
        <w:t>451.3</w:t>
      </w:r>
      <w:r>
        <w:rPr>
          <w:rFonts w:eastAsia="方正仿宋_GBK"/>
          <w:sz w:val="33"/>
          <w:szCs w:val="33"/>
        </w:rPr>
        <w:t>万元，占</w:t>
      </w:r>
      <w:r>
        <w:rPr>
          <w:rFonts w:eastAsia="方正仿宋_GBK" w:hint="eastAsia"/>
          <w:sz w:val="33"/>
          <w:szCs w:val="33"/>
        </w:rPr>
        <w:t>19.81</w:t>
      </w:r>
      <w:r>
        <w:rPr>
          <w:rFonts w:eastAsia="方正仿宋_GBK"/>
          <w:sz w:val="33"/>
          <w:szCs w:val="33"/>
        </w:rPr>
        <w:t>%。</w:t>
      </w:r>
    </w:p>
    <w:p>
      <w:pPr>
        <w:numPr>
          <w:ilvl w:val="0"/>
          <w:numId w:val="4"/>
        </w:numPr>
        <w:ind w:left="0" w:firstLineChars="200" w:firstLine="660"/>
        <w:rPr>
          <w:rFonts w:ascii="方正楷体_GBK" w:eastAsia="方正楷体_GBK" w:hint="eastAsia"/>
          <w:b/>
          <w:sz w:val="33"/>
          <w:szCs w:val="33"/>
        </w:rPr>
      </w:pPr>
      <w:r>
        <w:rPr>
          <w:rFonts w:ascii="方正楷体_GBK" w:eastAsia="方正楷体_GBK" w:hint="eastAsia"/>
          <w:b/>
          <w:sz w:val="33"/>
          <w:szCs w:val="33"/>
        </w:rPr>
        <w:t>结余分配和结转结余情况</w:t>
      </w:r>
    </w:p>
    <w:p>
      <w:pPr>
        <w:rPr>
          <w:rFonts w:ascii="仿宋_GB2312" w:eastAsia="仿宋_GB2312"/>
          <w:sz w:val="32"/>
          <w:szCs w:val="32"/>
        </w:rPr>
      </w:pPr>
      <w:r>
        <w:rPr>
          <w:rFonts w:eastAsia="方正仿宋_GBK" w:hint="eastAsia"/>
          <w:sz w:val="33"/>
          <w:szCs w:val="33"/>
          <w:lang w:val="en-US" w:eastAsia="zh-CN"/>
        </w:rPr>
        <w:t xml:space="preserve">    </w:t>
      </w:r>
      <w:r>
        <w:rPr>
          <w:rFonts w:ascii="Times New Roman" w:eastAsia="方正仿宋_GBK" w:cs="Times New Roman" w:hAnsi="Times New Roman"/>
          <w:sz w:val="33"/>
          <w:szCs w:val="33"/>
        </w:rPr>
        <w:t>中国人民政治协商会议四川省攀枝花市委员会办公室</w:t>
      </w:r>
      <w:r>
        <w:rPr>
          <w:rFonts w:ascii="Times New Roman" w:eastAsia="方正仿宋_GBK" w:cs="Times New Roman" w:hAnsi="Times New Roman" w:hint="eastAsia"/>
          <w:sz w:val="33"/>
          <w:szCs w:val="33"/>
        </w:rPr>
        <w:t>2023年决算报表结转</w:t>
      </w:r>
      <w:r>
        <w:rPr>
          <w:rFonts w:ascii="Times New Roman" w:eastAsia="方正仿宋_GBK" w:cs="Times New Roman" w:hAnsi="Times New Roman" w:hint="eastAsia"/>
          <w:kern w:val="2"/>
          <w:sz w:val="33"/>
          <w:szCs w:val="33"/>
          <w:lang w:val="en-US" w:eastAsia="zh-CN" w:bidi="ar-SA"/>
        </w:rPr>
        <w:t>结余其他收入7.6万元情况。</w:t>
      </w:r>
    </w:p>
    <w:p>
      <w:pPr>
        <w:rPr>
          <w:rFonts w:ascii="方正黑体_GBK" w:eastAsia="方正黑体_GBK"/>
          <w:sz w:val="33"/>
          <w:szCs w:val="33"/>
        </w:rPr>
      </w:pPr>
      <w:r>
        <w:rPr>
          <w:rFonts w:ascii="方正黑体_GBK" w:eastAsia="方正黑体_GBK" w:hint="eastAsia"/>
          <w:sz w:val="33"/>
          <w:szCs w:val="33"/>
        </w:rPr>
        <w:t xml:space="preserve">     三、部门预算绩效分析</w:t>
      </w:r>
    </w:p>
    <w:p>
      <w:pPr>
        <w:widowControl/>
        <w:adjustRightInd w:val="0"/>
        <w:snapToGrid w:val="0"/>
        <w:spacing w:line="580" w:lineRule="exact"/>
        <w:ind w:firstLineChars="200" w:firstLine="660"/>
        <w:contextualSpacing/>
        <w:jc w:val="left"/>
        <w:rPr>
          <w:rFonts w:ascii="方正楷体_GBK" w:eastAsia="方正楷体_GBK"/>
          <w:b/>
          <w:sz w:val="33"/>
          <w:szCs w:val="33"/>
        </w:rPr>
      </w:pPr>
      <w:r>
        <w:rPr>
          <w:rFonts w:ascii="方正楷体_GBK" w:eastAsia="方正楷体_GBK" w:hint="eastAsia"/>
          <w:b/>
          <w:sz w:val="33"/>
          <w:szCs w:val="33"/>
        </w:rPr>
        <w:t>（一）部门预算总体绩效分析</w:t>
      </w:r>
    </w:p>
    <w:p>
      <w:pPr>
        <w:pStyle w:val="19"/>
        <w:spacing w:line="600" w:lineRule="exact"/>
        <w:ind w:firstLineChars="200" w:firstLine="660"/>
        <w:jc w:val="left"/>
        <w:rPr>
          <w:rFonts w:ascii="Times New Roman" w:eastAsia="方正仿宋_GBK" w:cs="Times New Roman" w:hAnsi="Times New Roman"/>
          <w:kern w:val="2"/>
          <w:sz w:val="33"/>
          <w:szCs w:val="33"/>
          <w:lang w:val="en-US" w:eastAsia="zh-CN" w:bidi="ar-SA"/>
        </w:rPr>
      </w:pPr>
      <w:r>
        <w:rPr>
          <w:rFonts w:ascii="Times New Roman" w:eastAsia="方正仿宋_GBK" w:cs="Times New Roman" w:hAnsi="Times New Roman" w:hint="eastAsia"/>
          <w:kern w:val="2"/>
          <w:sz w:val="33"/>
          <w:szCs w:val="33"/>
          <w:lang w:val="en-US" w:eastAsia="zh-CN" w:bidi="ar-SA"/>
        </w:rPr>
        <w:t>2023</w:t>
      </w:r>
      <w:r>
        <w:rPr>
          <w:rFonts w:ascii="Times New Roman" w:eastAsia="方正仿宋_GBK" w:cs="Times New Roman" w:hAnsi="Times New Roman"/>
          <w:kern w:val="2"/>
          <w:sz w:val="33"/>
          <w:szCs w:val="33"/>
          <w:lang w:val="en-US" w:eastAsia="zh-CN" w:bidi="ar-SA"/>
        </w:rPr>
        <w:t>年初预算数</w:t>
      </w:r>
      <w:r>
        <w:rPr>
          <w:rFonts w:ascii="Times New Roman" w:eastAsia="方正仿宋_GBK" w:cs="Times New Roman" w:hAnsi="Times New Roman" w:hint="eastAsia"/>
          <w:kern w:val="2"/>
          <w:sz w:val="33"/>
          <w:szCs w:val="33"/>
          <w:lang w:val="en-US" w:eastAsia="zh-CN" w:bidi="ar-SA"/>
        </w:rPr>
        <w:t>2130.18</w:t>
      </w:r>
      <w:r>
        <w:rPr>
          <w:rFonts w:ascii="Times New Roman" w:eastAsia="方正仿宋_GBK" w:cs="Times New Roman" w:hAnsi="Times New Roman"/>
          <w:kern w:val="2"/>
          <w:sz w:val="33"/>
          <w:szCs w:val="33"/>
          <w:lang w:val="en-US" w:eastAsia="zh-CN" w:bidi="ar-SA"/>
        </w:rPr>
        <w:t>万元，</w:t>
      </w:r>
      <w:r>
        <w:rPr>
          <w:rFonts w:ascii="Times New Roman" w:eastAsia="方正仿宋_GBK" w:cs="Times New Roman" w:hAnsi="Times New Roman" w:hint="eastAsia"/>
          <w:kern w:val="2"/>
          <w:sz w:val="33"/>
          <w:szCs w:val="33"/>
          <w:lang w:val="en-US" w:eastAsia="zh-CN" w:bidi="ar-SA"/>
        </w:rPr>
        <w:t>实际</w:t>
      </w:r>
      <w:r>
        <w:rPr>
          <w:rFonts w:ascii="Times New Roman" w:eastAsia="方正仿宋_GBK" w:cs="Times New Roman" w:hAnsi="Times New Roman"/>
          <w:kern w:val="2"/>
          <w:sz w:val="33"/>
          <w:szCs w:val="33"/>
          <w:lang w:val="en-US" w:eastAsia="zh-CN" w:bidi="ar-SA"/>
        </w:rPr>
        <w:t>收入数</w:t>
      </w:r>
      <w:r>
        <w:rPr>
          <w:rFonts w:ascii="Times New Roman" w:eastAsia="方正仿宋_GBK" w:cs="Times New Roman" w:hAnsi="Times New Roman" w:hint="eastAsia"/>
          <w:kern w:val="2"/>
          <w:sz w:val="33"/>
          <w:szCs w:val="33"/>
          <w:lang w:val="en-US" w:eastAsia="zh-CN" w:bidi="ar-SA"/>
        </w:rPr>
        <w:t>2277.79</w:t>
      </w:r>
      <w:r>
        <w:rPr>
          <w:rFonts w:ascii="Times New Roman" w:eastAsia="方正仿宋_GBK" w:cs="Times New Roman" w:hAnsi="Times New Roman"/>
          <w:kern w:val="2"/>
          <w:sz w:val="33"/>
          <w:szCs w:val="33"/>
          <w:lang w:val="en-US" w:eastAsia="zh-CN" w:bidi="ar-SA"/>
        </w:rPr>
        <w:t>万元，截止20</w:t>
      </w:r>
      <w:r>
        <w:rPr>
          <w:rFonts w:ascii="Times New Roman" w:eastAsia="方正仿宋_GBK" w:cs="Times New Roman" w:hAnsi="Times New Roman" w:hint="eastAsia"/>
          <w:kern w:val="2"/>
          <w:sz w:val="33"/>
          <w:szCs w:val="33"/>
          <w:lang w:val="en-US" w:eastAsia="zh-CN" w:bidi="ar-SA"/>
        </w:rPr>
        <w:t>23</w:t>
      </w:r>
      <w:r>
        <w:rPr>
          <w:rFonts w:ascii="Times New Roman" w:eastAsia="方正仿宋_GBK" w:cs="Times New Roman" w:hAnsi="Times New Roman"/>
          <w:kern w:val="2"/>
          <w:sz w:val="33"/>
          <w:szCs w:val="33"/>
          <w:lang w:val="en-US" w:eastAsia="zh-CN" w:bidi="ar-SA"/>
        </w:rPr>
        <w:t>年12月31日资金实际执行数</w:t>
      </w:r>
      <w:r>
        <w:rPr>
          <w:rFonts w:ascii="Times New Roman" w:eastAsia="方正仿宋_GBK" w:cs="Times New Roman" w:hAnsi="Times New Roman" w:hint="eastAsia"/>
          <w:kern w:val="2"/>
          <w:sz w:val="33"/>
          <w:szCs w:val="33"/>
          <w:lang w:val="en-US" w:eastAsia="zh-CN" w:bidi="ar-SA"/>
        </w:rPr>
        <w:t>2277.79</w:t>
      </w:r>
      <w:r>
        <w:rPr>
          <w:rFonts w:ascii="Times New Roman" w:eastAsia="方正仿宋_GBK" w:cs="Times New Roman" w:hAnsi="Times New Roman"/>
          <w:kern w:val="2"/>
          <w:sz w:val="33"/>
          <w:szCs w:val="33"/>
          <w:lang w:val="en-US" w:eastAsia="zh-CN" w:bidi="ar-SA"/>
        </w:rPr>
        <w:t>万元，预算执行率为</w:t>
      </w:r>
      <w:r>
        <w:rPr>
          <w:rFonts w:ascii="Times New Roman" w:eastAsia="方正仿宋_GBK" w:cs="Times New Roman" w:hAnsi="Times New Roman" w:hint="eastAsia"/>
          <w:kern w:val="2"/>
          <w:sz w:val="33"/>
          <w:szCs w:val="33"/>
          <w:lang w:val="en-US" w:eastAsia="zh-CN" w:bidi="ar-SA"/>
        </w:rPr>
        <w:t>100</w:t>
      </w:r>
      <w:r>
        <w:rPr>
          <w:rFonts w:ascii="Times New Roman" w:eastAsia="方正仿宋_GBK" w:cs="Times New Roman" w:hAnsi="Times New Roman"/>
          <w:kern w:val="2"/>
          <w:sz w:val="33"/>
          <w:szCs w:val="33"/>
          <w:lang w:val="en-US" w:eastAsia="zh-CN" w:bidi="ar-SA"/>
        </w:rPr>
        <w:t>%。我</w:t>
      </w:r>
      <w:r>
        <w:rPr>
          <w:rFonts w:ascii="Times New Roman" w:eastAsia="方正仿宋_GBK" w:cs="Times New Roman" w:hAnsi="Times New Roman" w:hint="eastAsia"/>
          <w:kern w:val="2"/>
          <w:sz w:val="33"/>
          <w:szCs w:val="33"/>
          <w:lang w:val="en-US" w:eastAsia="zh-CN" w:bidi="ar-SA"/>
        </w:rPr>
        <w:t>部门</w:t>
      </w:r>
      <w:r>
        <w:rPr>
          <w:rFonts w:ascii="Times New Roman" w:eastAsia="方正仿宋_GBK" w:cs="Times New Roman" w:hAnsi="Times New Roman"/>
          <w:kern w:val="2"/>
          <w:sz w:val="33"/>
          <w:szCs w:val="33"/>
          <w:lang w:val="en-US" w:eastAsia="zh-CN" w:bidi="ar-SA"/>
        </w:rPr>
        <w:t>较好地完成了数量指标、质量指标、时效指标的指标值</w:t>
      </w:r>
      <w:r>
        <w:rPr>
          <w:rFonts w:ascii="Times New Roman" w:eastAsia="方正仿宋_GBK" w:cs="Times New Roman" w:hAnsi="Times New Roman" w:hint="eastAsia"/>
          <w:kern w:val="2"/>
          <w:sz w:val="33"/>
          <w:szCs w:val="33"/>
          <w:lang w:val="en-US" w:eastAsia="zh-CN" w:bidi="ar-SA"/>
        </w:rPr>
        <w:t>。</w:t>
      </w:r>
    </w:p>
    <w:p>
      <w:pPr>
        <w:pStyle w:val="19"/>
        <w:spacing w:line="600" w:lineRule="exact"/>
        <w:ind w:firstLineChars="200" w:firstLine="660"/>
        <w:jc w:val="left"/>
        <w:rPr>
          <w:rFonts w:ascii="Times New Roman" w:eastAsia="方正仿宋_GBK" w:cs="Times New Roman" w:hAnsi="Times New Roman"/>
          <w:kern w:val="2"/>
          <w:sz w:val="33"/>
          <w:szCs w:val="33"/>
          <w:lang w:val="en-US" w:eastAsia="zh-CN" w:bidi="ar-SA"/>
        </w:rPr>
      </w:pPr>
      <w:r>
        <w:rPr>
          <w:rFonts w:ascii="Times New Roman" w:eastAsia="方正仿宋_GBK" w:cs="Times New Roman" w:hAnsi="Times New Roman" w:hint="eastAsia"/>
          <w:kern w:val="2"/>
          <w:sz w:val="33"/>
          <w:szCs w:val="33"/>
          <w:lang w:val="en-US" w:eastAsia="zh-CN" w:bidi="ar-SA"/>
        </w:rPr>
        <w:t>1.</w:t>
      </w:r>
      <w:r>
        <w:rPr>
          <w:rFonts w:ascii="Times New Roman" w:eastAsia="方正仿宋_GBK" w:cs="Times New Roman" w:hAnsi="Times New Roman" w:hint="eastAsia"/>
          <w:kern w:val="2"/>
          <w:sz w:val="33"/>
          <w:szCs w:val="33"/>
          <w:lang w:val="zh-CN" w:eastAsia="zh-CN" w:bidi="ar-SA"/>
        </w:rPr>
        <w:t>履职</w:t>
      </w:r>
      <w:r>
        <w:rPr>
          <w:rFonts w:ascii="Times New Roman" w:eastAsia="方正仿宋_GBK" w:cs="Times New Roman" w:hAnsi="Times New Roman" w:hint="eastAsia"/>
          <w:kern w:val="2"/>
          <w:sz w:val="33"/>
          <w:szCs w:val="33"/>
          <w:lang w:val="en-US" w:eastAsia="zh-CN" w:bidi="ar-SA"/>
        </w:rPr>
        <w:t>效能</w:t>
      </w:r>
      <w:r>
        <w:rPr>
          <w:rFonts w:ascii="Times New Roman" w:eastAsia="方正仿宋_GBK" w:cs="Times New Roman" w:hAnsi="Times New Roman" w:hint="eastAsia"/>
          <w:kern w:val="2"/>
          <w:sz w:val="33"/>
          <w:szCs w:val="33"/>
          <w:lang w:val="zh-CN" w:eastAsia="zh-CN" w:bidi="ar-SA"/>
        </w:rPr>
        <w:t>。</w:t>
      </w:r>
      <w:r>
        <w:rPr>
          <w:rFonts w:ascii="Times New Roman" w:eastAsia="方正仿宋_GBK" w:cs="Times New Roman" w:hAnsi="Times New Roman"/>
          <w:kern w:val="2"/>
          <w:sz w:val="33"/>
          <w:szCs w:val="33"/>
          <w:lang w:val="en-US" w:eastAsia="zh-CN" w:bidi="ar-SA"/>
        </w:rPr>
        <w:t>通过组织委员学习活动交流座谈，</w:t>
      </w:r>
      <w:r>
        <w:rPr>
          <w:rFonts w:ascii="Times New Roman" w:eastAsia="方正仿宋_GBK" w:cs="Times New Roman" w:hAnsi="Times New Roman" w:hint="eastAsia"/>
          <w:kern w:val="2"/>
          <w:sz w:val="33"/>
          <w:szCs w:val="33"/>
          <w:lang w:val="en-US" w:eastAsia="zh-CN" w:bidi="ar-SA"/>
        </w:rPr>
        <w:t>委员们</w:t>
      </w:r>
      <w:r>
        <w:rPr>
          <w:rFonts w:ascii="Times New Roman" w:eastAsia="方正仿宋_GBK" w:cs="Times New Roman" w:hAnsi="Times New Roman"/>
          <w:kern w:val="2"/>
          <w:sz w:val="33"/>
          <w:szCs w:val="33"/>
          <w:lang w:val="en-US" w:eastAsia="zh-CN" w:bidi="ar-SA"/>
        </w:rPr>
        <w:t>积极参加政协会议、调研视察、小组学习、界别活动，充分发挥委员的桥梁纽带作用，</w:t>
      </w:r>
      <w:r>
        <w:rPr>
          <w:rFonts w:ascii="Times New Roman" w:eastAsia="方正仿宋_GBK" w:cs="Times New Roman" w:hAnsi="Times New Roman" w:hint="eastAsia"/>
          <w:kern w:val="2"/>
          <w:sz w:val="33"/>
          <w:szCs w:val="33"/>
          <w:lang w:val="en-US" w:eastAsia="zh-CN" w:bidi="ar-SA"/>
        </w:rPr>
        <w:t>凝心聚力、</w:t>
      </w:r>
      <w:r>
        <w:rPr>
          <w:rFonts w:ascii="Times New Roman" w:eastAsia="方正仿宋_GBK" w:cs="Times New Roman" w:hAnsi="Times New Roman"/>
          <w:kern w:val="2"/>
          <w:sz w:val="33"/>
          <w:szCs w:val="33"/>
          <w:lang w:val="en-US" w:eastAsia="zh-CN" w:bidi="ar-SA"/>
        </w:rPr>
        <w:t>积极建言献策，提出意见建议。围绕市委、市政府工作重点，开展专题调研视察与协商活动。积极发挥</w:t>
      </w:r>
      <w:r>
        <w:rPr>
          <w:rFonts w:ascii="Times New Roman" w:eastAsia="方正仿宋_GBK" w:cs="Times New Roman" w:hAnsi="Times New Roman" w:hint="eastAsia"/>
          <w:kern w:val="2"/>
          <w:sz w:val="33"/>
          <w:szCs w:val="33"/>
          <w:lang w:val="en-US" w:eastAsia="zh-CN" w:bidi="ar-SA"/>
        </w:rPr>
        <w:t>政治协商、民主监督、</w:t>
      </w:r>
      <w:r>
        <w:rPr>
          <w:rFonts w:ascii="Times New Roman" w:eastAsia="方正仿宋_GBK" w:cs="Times New Roman" w:hAnsi="Times New Roman"/>
          <w:kern w:val="2"/>
          <w:sz w:val="33"/>
          <w:szCs w:val="33"/>
          <w:lang w:val="en-US" w:eastAsia="zh-CN" w:bidi="ar-SA"/>
        </w:rPr>
        <w:t>参政议政作用，及时反映社情民意，撰写提交提案</w:t>
      </w:r>
      <w:r>
        <w:rPr>
          <w:rFonts w:ascii="Times New Roman" w:eastAsia="方正仿宋_GBK" w:cs="Times New Roman" w:hAnsi="Times New Roman" w:hint="eastAsia"/>
          <w:kern w:val="2"/>
          <w:sz w:val="33"/>
          <w:szCs w:val="33"/>
          <w:lang w:val="en-US" w:eastAsia="zh-CN" w:bidi="ar-SA"/>
        </w:rPr>
        <w:t>，为攀枝花高质量发展建设共同富裕试验区贡献政协力量。</w:t>
      </w:r>
    </w:p>
    <w:p>
      <w:pPr>
        <w:autoSpaceDE w:val="0"/>
        <w:autoSpaceDN w:val="0"/>
        <w:adjustRightInd w:val="0"/>
        <w:spacing w:line="600" w:lineRule="exact"/>
        <w:ind w:firstLineChars="200" w:firstLine="660"/>
        <w:jc w:val="left"/>
        <w:rPr>
          <w:rFonts w:ascii="Times New Roman" w:eastAsia="方正仿宋_GBK" w:cs="Times New Roman" w:hAnsi="Times New Roman"/>
          <w:kern w:val="2"/>
          <w:sz w:val="33"/>
          <w:szCs w:val="33"/>
          <w:lang w:val="en-US" w:eastAsia="zh-CN" w:bidi="ar-SA"/>
        </w:rPr>
      </w:pPr>
      <w:r>
        <w:rPr>
          <w:rFonts w:ascii="Times New Roman" w:eastAsia="方正仿宋_GBK" w:cs="Times New Roman" w:hAnsi="Times New Roman" w:hint="eastAsia"/>
          <w:kern w:val="2"/>
          <w:sz w:val="33"/>
          <w:szCs w:val="33"/>
          <w:lang w:val="en-US" w:eastAsia="zh-CN" w:bidi="ar-SA"/>
        </w:rPr>
        <w:t>2.</w:t>
      </w:r>
      <w:r>
        <w:rPr>
          <w:rFonts w:ascii="Times New Roman" w:eastAsia="方正仿宋_GBK" w:cs="Times New Roman" w:hAnsi="Times New Roman" w:hint="eastAsia"/>
          <w:kern w:val="2"/>
          <w:sz w:val="33"/>
          <w:szCs w:val="33"/>
          <w:lang w:val="zh-CN" w:eastAsia="zh-CN" w:bidi="ar-SA"/>
        </w:rPr>
        <w:t>预算管理。</w:t>
      </w:r>
      <w:r>
        <w:rPr>
          <w:rFonts w:ascii="Times New Roman" w:eastAsia="方正仿宋_GBK" w:cs="Times New Roman" w:hAnsi="Times New Roman" w:hint="eastAsia"/>
          <w:kern w:val="2"/>
          <w:sz w:val="33"/>
          <w:szCs w:val="33"/>
          <w:lang w:val="en-US" w:eastAsia="zh-CN" w:bidi="ar-SA"/>
        </w:rPr>
        <w:t>资金使用中，严格按照先申报、审批，后拨付等项目管理制度使用，完全符合《预算法》及财务管理相关制度，会计资料完整、真实，确保了专款专用、安全规范。</w:t>
      </w:r>
    </w:p>
    <w:p>
      <w:pPr>
        <w:ind w:firstLineChars="200" w:firstLine="660"/>
        <w:rPr>
          <w:rFonts w:ascii="Times New Roman" w:eastAsia="方正仿宋_GBK" w:cs="Times New Roman" w:hAnsi="Times New Roman"/>
          <w:sz w:val="33"/>
          <w:szCs w:val="33"/>
        </w:rPr>
      </w:pPr>
      <w:r>
        <w:rPr>
          <w:rFonts w:ascii="Times New Roman" w:eastAsia="方正仿宋_GBK" w:cs="Times New Roman" w:hAnsi="Times New Roman"/>
          <w:sz w:val="33"/>
          <w:szCs w:val="33"/>
        </w:rPr>
        <w:t>3.</w:t>
      </w:r>
      <w:r>
        <w:rPr>
          <w:rFonts w:ascii="Times New Roman" w:eastAsia="方正仿宋_GBK" w:cs="Times New Roman" w:hAnsi="Times New Roman"/>
          <w:sz w:val="33"/>
          <w:szCs w:val="33"/>
          <w:lang w:val="zh-CN"/>
        </w:rPr>
        <w:t>财务管理。</w:t>
      </w:r>
      <w:r>
        <w:rPr>
          <w:rFonts w:ascii="Times New Roman" w:eastAsia="方正仿宋_GBK" w:cs="Times New Roman" w:hAnsi="Times New Roman"/>
          <w:sz w:val="33"/>
          <w:szCs w:val="33"/>
        </w:rPr>
        <w:t>部门财务管理制度健全，严格执行财务管理制度，账务处理及时，会计核算规范。</w:t>
      </w:r>
    </w:p>
    <w:p>
      <w:pPr>
        <w:ind w:firstLineChars="200" w:firstLine="660"/>
        <w:rPr>
          <w:rFonts w:ascii="Times New Roman" w:eastAsia="方正仿宋_GBK" w:cs="Times New Roman" w:hAnsi="Times New Roman"/>
          <w:sz w:val="33"/>
          <w:szCs w:val="33"/>
        </w:rPr>
      </w:pPr>
      <w:r>
        <w:rPr>
          <w:rFonts w:ascii="Times New Roman" w:eastAsia="方正仿宋_GBK" w:cs="Times New Roman" w:hAnsi="Times New Roman"/>
          <w:sz w:val="33"/>
          <w:szCs w:val="33"/>
        </w:rPr>
        <w:t>4.</w:t>
      </w:r>
      <w:r>
        <w:rPr>
          <w:rFonts w:ascii="Times New Roman" w:eastAsia="方正仿宋_GBK" w:cs="Times New Roman" w:hAnsi="Times New Roman"/>
          <w:sz w:val="33"/>
          <w:szCs w:val="33"/>
          <w:lang w:val="zh-CN"/>
        </w:rPr>
        <w:t>资产管理。</w:t>
      </w:r>
      <w:r>
        <w:rPr>
          <w:rFonts w:ascii="Times New Roman" w:eastAsia="方正仿宋_GBK" w:cs="Times New Roman" w:hAnsi="Times New Roman"/>
          <w:sz w:val="33"/>
          <w:szCs w:val="33"/>
        </w:rPr>
        <w:t>本部门修改完善《攀枝花市政协机关财产物资管理办法》,进一步加强市政协机关财产物资管理，确保财产物资的真实、安全、完整，做到账账相符、账表相符、账实相符，防止财产物资的浪费和损失。</w:t>
      </w:r>
    </w:p>
    <w:p>
      <w:pPr>
        <w:ind w:firstLineChars="200" w:firstLine="660"/>
        <w:rPr>
          <w:rFonts w:ascii="Times New Roman" w:eastAsia="方正仿宋_GBK" w:cs="Times New Roman" w:hAnsi="Times New Roman"/>
          <w:sz w:val="33"/>
          <w:szCs w:val="33"/>
          <w:lang w:val="zh-CN"/>
        </w:rPr>
      </w:pPr>
      <w:r>
        <w:rPr>
          <w:rFonts w:ascii="Times New Roman" w:eastAsia="方正仿宋_GBK" w:cs="Times New Roman" w:hAnsi="Times New Roman"/>
          <w:sz w:val="33"/>
          <w:szCs w:val="33"/>
        </w:rPr>
        <w:t>5.</w:t>
      </w:r>
      <w:r>
        <w:rPr>
          <w:rFonts w:ascii="Times New Roman" w:eastAsia="方正仿宋_GBK" w:cs="Times New Roman" w:hAnsi="Times New Roman"/>
          <w:sz w:val="33"/>
          <w:szCs w:val="33"/>
          <w:lang w:val="zh-CN"/>
        </w:rPr>
        <w:t>采购管理。严格按照《采购目录》进行申报、公示。</w:t>
      </w:r>
    </w:p>
    <w:p>
      <w:pPr>
        <w:widowControl/>
        <w:adjustRightInd w:val="0"/>
        <w:snapToGrid w:val="0"/>
        <w:spacing w:line="580" w:lineRule="exact"/>
        <w:ind w:firstLineChars="200" w:firstLine="660"/>
        <w:contextualSpacing/>
        <w:jc w:val="left"/>
        <w:rPr>
          <w:rFonts w:ascii="方正楷体_GBK" w:eastAsia="方正楷体_GBK"/>
          <w:b/>
          <w:sz w:val="33"/>
          <w:szCs w:val="33"/>
        </w:rPr>
      </w:pPr>
      <w:r>
        <w:rPr>
          <w:rFonts w:ascii="方正楷体_GBK" w:eastAsia="方正楷体_GBK" w:hint="eastAsia"/>
          <w:b/>
          <w:sz w:val="33"/>
          <w:szCs w:val="33"/>
        </w:rPr>
        <w:t>（二）部门预算项目绩效分析</w:t>
      </w:r>
    </w:p>
    <w:p>
      <w:pPr>
        <w:ind w:firstLineChars="200" w:firstLine="660"/>
        <w:rPr>
          <w:rFonts w:ascii="Times New Roman" w:eastAsia="方正仿宋_GBK" w:cs="Times New Roman" w:hAnsi="Times New Roman"/>
          <w:kern w:val="2"/>
          <w:sz w:val="33"/>
          <w:szCs w:val="33"/>
          <w:lang w:val="en-US" w:eastAsia="zh-CN" w:bidi="ar-SA"/>
        </w:rPr>
      </w:pPr>
      <w:r>
        <w:rPr>
          <w:rFonts w:ascii="Times New Roman" w:eastAsia="方正仿宋_GBK" w:cs="Times New Roman" w:hAnsi="Times New Roman" w:hint="eastAsia"/>
          <w:kern w:val="2"/>
          <w:sz w:val="33"/>
          <w:szCs w:val="33"/>
          <w:lang w:val="en-US" w:eastAsia="zh-CN" w:bidi="ar-SA"/>
        </w:rPr>
        <w:t>1.项目决策</w:t>
      </w:r>
    </w:p>
    <w:p>
      <w:pPr>
        <w:ind w:firstLineChars="200" w:firstLine="660"/>
        <w:rPr>
          <w:rFonts w:ascii="Times New Roman" w:eastAsia="方正仿宋_GBK" w:cs="Times New Roman" w:hAnsi="Times New Roman"/>
          <w:kern w:val="2"/>
          <w:sz w:val="33"/>
          <w:szCs w:val="33"/>
          <w:lang w:val="en-US" w:eastAsia="zh-CN" w:bidi="ar-SA"/>
        </w:rPr>
      </w:pPr>
      <w:r>
        <w:rPr>
          <w:rFonts w:ascii="Times New Roman" w:eastAsia="方正仿宋_GBK" w:cs="Times New Roman" w:hAnsi="Times New Roman" w:hint="eastAsia"/>
          <w:kern w:val="2"/>
          <w:sz w:val="33"/>
          <w:szCs w:val="33"/>
          <w:lang w:val="en-US" w:eastAsia="zh-CN" w:bidi="ar-SA"/>
        </w:rPr>
        <w:t>我部门根据常规性工作及省政协、市委、市政府下达的重点工作进行项目预算申报。</w:t>
      </w:r>
    </w:p>
    <w:p>
      <w:pPr>
        <w:ind w:firstLineChars="200" w:firstLine="660"/>
        <w:rPr>
          <w:rFonts w:ascii="Times New Roman" w:eastAsia="方正仿宋_GBK" w:cs="Times New Roman" w:hAnsi="Times New Roman" w:hint="eastAsia"/>
          <w:kern w:val="2"/>
          <w:sz w:val="33"/>
          <w:szCs w:val="33"/>
          <w:lang w:val="en-US" w:eastAsia="zh-CN" w:bidi="ar-SA"/>
        </w:rPr>
      </w:pPr>
      <w:r>
        <w:rPr>
          <w:rFonts w:ascii="Times New Roman" w:eastAsia="方正仿宋_GBK" w:cs="Times New Roman" w:hAnsi="Times New Roman" w:hint="eastAsia"/>
          <w:kern w:val="2"/>
          <w:sz w:val="33"/>
          <w:szCs w:val="33"/>
          <w:lang w:val="en-US" w:eastAsia="zh-CN" w:bidi="ar-SA"/>
        </w:rPr>
        <w:t>2.项目执行</w:t>
      </w:r>
    </w:p>
    <w:p>
      <w:pPr>
        <w:ind w:firstLineChars="200" w:firstLine="660"/>
        <w:rPr>
          <w:rFonts w:ascii="Times New Roman" w:eastAsia="方正仿宋_GBK" w:cs="Times New Roman" w:hAnsi="Times New Roman" w:hint="eastAsia"/>
          <w:kern w:val="2"/>
          <w:sz w:val="33"/>
          <w:szCs w:val="33"/>
          <w:lang w:val="en-US" w:eastAsia="zh-CN" w:bidi="ar-SA"/>
        </w:rPr>
      </w:pPr>
      <w:r>
        <w:rPr>
          <w:rFonts w:ascii="Times New Roman" w:eastAsia="方正仿宋_GBK" w:cs="Times New Roman" w:hAnsi="Times New Roman" w:hint="eastAsia"/>
          <w:kern w:val="2"/>
          <w:sz w:val="33"/>
          <w:szCs w:val="33"/>
          <w:lang w:val="en-US" w:eastAsia="zh-CN" w:bidi="ar-SA"/>
        </w:rPr>
        <w:t>2023年人员类实际支出数1826.61万元，截止2023年12月31日资金实际执行数1826.61万元，预算执行率为100%。我部门较好地完成了数量指标、质量指标、时效指标的指标值，绩效目标完成率为100%。</w:t>
      </w:r>
    </w:p>
    <w:p>
      <w:pPr>
        <w:ind w:firstLineChars="200" w:firstLine="660"/>
        <w:rPr>
          <w:rFonts w:ascii="Times New Roman" w:eastAsia="方正仿宋_GBK" w:cs="Times New Roman" w:hAnsi="Times New Roman" w:hint="eastAsia"/>
          <w:kern w:val="2"/>
          <w:sz w:val="33"/>
          <w:szCs w:val="33"/>
          <w:lang w:val="en-US" w:eastAsia="zh-CN" w:bidi="ar-SA"/>
        </w:rPr>
      </w:pPr>
      <w:r>
        <w:rPr>
          <w:rFonts w:ascii="Times New Roman" w:eastAsia="方正仿宋_GBK" w:cs="Times New Roman" w:hAnsi="Times New Roman" w:hint="eastAsia"/>
          <w:kern w:val="2"/>
          <w:sz w:val="33"/>
          <w:szCs w:val="33"/>
          <w:lang w:val="en-US" w:eastAsia="zh-CN" w:bidi="ar-SA"/>
        </w:rPr>
        <w:t>2023年运转类项目年初预算数为5.2万元，截止2023年12月31日资金实际执行数5.2万元，预算执行率为100%。我部门较好地完成了数量指标、质量指标、时效指标的指标值，绩效目标完成率为100%。</w:t>
      </w:r>
    </w:p>
    <w:p>
      <w:pPr>
        <w:ind w:firstLineChars="200" w:firstLine="660"/>
        <w:rPr>
          <w:rFonts w:ascii="Times New Roman" w:eastAsia="方正仿宋_GBK" w:cs="Times New Roman" w:hAnsi="Times New Roman" w:hint="eastAsia"/>
          <w:kern w:val="2"/>
          <w:sz w:val="33"/>
          <w:szCs w:val="33"/>
          <w:lang w:val="en-US" w:eastAsia="zh-CN" w:bidi="ar-SA"/>
        </w:rPr>
      </w:pPr>
      <w:r>
        <w:rPr>
          <w:rFonts w:ascii="Times New Roman" w:eastAsia="方正仿宋_GBK" w:cs="Times New Roman" w:hAnsi="Times New Roman" w:hint="eastAsia"/>
          <w:kern w:val="2"/>
          <w:sz w:val="33"/>
          <w:szCs w:val="33"/>
          <w:lang w:val="en-US" w:eastAsia="zh-CN" w:bidi="ar-SA"/>
        </w:rPr>
        <w:t>2023年特定目标类项目年初预算数为448.2为万元，截止2023年12月31日资金实际执行数448.2万元，预算执行率为100%。我部门较好地完成了数量指标、质量指标、时效指标的指标值，绩效目标完成率为100%。</w:t>
      </w:r>
    </w:p>
    <w:p>
      <w:pPr>
        <w:ind w:firstLineChars="200" w:firstLine="660"/>
        <w:rPr>
          <w:rFonts w:ascii="Times New Roman" w:eastAsia="方正仿宋_GBK" w:cs="Times New Roman" w:hAnsi="Times New Roman" w:hint="eastAsia"/>
          <w:kern w:val="2"/>
          <w:sz w:val="33"/>
          <w:szCs w:val="33"/>
          <w:lang w:val="en-US" w:eastAsia="zh-CN" w:bidi="ar-SA"/>
        </w:rPr>
      </w:pPr>
      <w:r>
        <w:rPr>
          <w:rFonts w:ascii="Times New Roman" w:eastAsia="方正仿宋_GBK" w:cs="Times New Roman" w:hAnsi="Times New Roman" w:hint="eastAsia"/>
          <w:kern w:val="2"/>
          <w:sz w:val="33"/>
          <w:szCs w:val="33"/>
          <w:lang w:val="en-US" w:eastAsia="zh-CN" w:bidi="ar-SA"/>
        </w:rPr>
        <w:t>3.目标实现</w:t>
      </w:r>
    </w:p>
    <w:p>
      <w:pPr>
        <w:ind w:firstLineChars="200" w:firstLine="660"/>
        <w:rPr>
          <w:rFonts w:ascii="Times New Roman" w:eastAsia="方正仿宋_GBK" w:cs="Times New Roman" w:hAnsi="Times New Roman" w:hint="eastAsia"/>
          <w:kern w:val="2"/>
          <w:sz w:val="33"/>
          <w:szCs w:val="33"/>
          <w:lang w:val="en-US" w:eastAsia="zh-CN" w:bidi="ar-SA"/>
        </w:rPr>
      </w:pPr>
      <w:r>
        <w:rPr>
          <w:rFonts w:ascii="Times New Roman" w:eastAsia="方正仿宋_GBK" w:cs="Times New Roman" w:hAnsi="Times New Roman" w:hint="eastAsia"/>
          <w:kern w:val="2"/>
          <w:sz w:val="33"/>
          <w:szCs w:val="33"/>
          <w:lang w:val="en-US" w:eastAsia="zh-CN" w:bidi="ar-SA"/>
        </w:rPr>
        <w:t>各类项目均达到设定的社会效益指标值和可持续影响指标值。各类项目服务对象满意度均达到了目标值，满意度很高。</w:t>
      </w:r>
    </w:p>
    <w:p>
      <w:pPr>
        <w:widowControl/>
        <w:adjustRightInd w:val="0"/>
        <w:snapToGrid w:val="0"/>
        <w:spacing w:line="580" w:lineRule="exact"/>
        <w:ind w:firstLineChars="200" w:firstLine="660"/>
        <w:contextualSpacing/>
        <w:jc w:val="left"/>
        <w:rPr>
          <w:rFonts w:ascii="方正楷体_GBK" w:eastAsia="方正楷体_GBK"/>
          <w:b/>
          <w:sz w:val="33"/>
          <w:szCs w:val="33"/>
        </w:rPr>
      </w:pPr>
      <w:r>
        <w:rPr>
          <w:rFonts w:ascii="方正楷体_GBK" w:eastAsia="方正楷体_GBK" w:hint="eastAsia"/>
          <w:b/>
          <w:sz w:val="33"/>
          <w:szCs w:val="33"/>
        </w:rPr>
        <w:t>（三）重点领域绩效分析</w:t>
      </w:r>
    </w:p>
    <w:p>
      <w:pPr>
        <w:ind w:firstLineChars="200" w:firstLine="660"/>
        <w:rPr>
          <w:rFonts w:ascii="Times New Roman" w:eastAsia="方正仿宋_GBK" w:cs="Times New Roman" w:hAnsi="Times New Roman" w:hint="eastAsia"/>
          <w:sz w:val="33"/>
          <w:szCs w:val="33"/>
          <w:lang w:val="zh-CN"/>
        </w:rPr>
      </w:pPr>
      <w:r>
        <w:rPr>
          <w:rFonts w:ascii="Times New Roman" w:eastAsia="方正仿宋_GBK" w:cs="Times New Roman" w:hAnsi="Times New Roman" w:hint="eastAsia"/>
          <w:sz w:val="33"/>
          <w:szCs w:val="33"/>
          <w:lang w:val="zh-CN"/>
        </w:rPr>
        <w:t>2023年度我部门不涉及国有资本、行政事业性国有资产、债券资金、政府采购和政府购买服务等重点领域的。</w:t>
      </w:r>
    </w:p>
    <w:p>
      <w:pPr>
        <w:widowControl/>
        <w:adjustRightInd w:val="0"/>
        <w:snapToGrid w:val="0"/>
        <w:spacing w:line="580" w:lineRule="exact"/>
        <w:ind w:firstLineChars="200" w:firstLine="660"/>
        <w:contextualSpacing/>
        <w:jc w:val="left"/>
        <w:rPr>
          <w:rFonts w:ascii="方正楷体_GBK" w:eastAsia="方正楷体_GBK"/>
          <w:b/>
          <w:sz w:val="33"/>
          <w:szCs w:val="33"/>
        </w:rPr>
      </w:pPr>
      <w:r>
        <w:rPr>
          <w:rFonts w:ascii="方正楷体_GBK" w:eastAsia="方正楷体_GBK" w:hint="eastAsia"/>
          <w:b/>
          <w:sz w:val="33"/>
          <w:szCs w:val="33"/>
        </w:rPr>
        <w:t>（四）绩效结果应用情况</w:t>
      </w:r>
    </w:p>
    <w:p>
      <w:pPr>
        <w:ind w:firstLineChars="200" w:firstLine="660"/>
        <w:rPr>
          <w:rFonts w:ascii="Times New Roman" w:eastAsia="方正仿宋_GBK" w:cs="Times New Roman" w:hAnsi="Times New Roman" w:hint="eastAsia"/>
          <w:kern w:val="2"/>
          <w:sz w:val="33"/>
          <w:szCs w:val="33"/>
          <w:lang w:val="en-US" w:eastAsia="zh-CN" w:bidi="ar-SA"/>
        </w:rPr>
      </w:pPr>
      <w:r>
        <w:rPr>
          <w:rFonts w:ascii="Times New Roman" w:eastAsia="方正仿宋_GBK" w:cs="Times New Roman" w:hAnsi="Times New Roman" w:hint="eastAsia"/>
          <w:kern w:val="2"/>
          <w:sz w:val="33"/>
          <w:szCs w:val="33"/>
          <w:lang w:val="en-US" w:eastAsia="zh-CN" w:bidi="ar-SA"/>
        </w:rPr>
        <w:t xml:space="preserve">1.产出指标完成情况分析。2023年年初预算项目6个，追加项目4个，项目完成率100%。 </w:t>
      </w:r>
    </w:p>
    <w:p>
      <w:pPr>
        <w:ind w:firstLineChars="200" w:firstLine="660"/>
        <w:rPr>
          <w:rFonts w:ascii="Times New Roman" w:eastAsia="方正仿宋_GBK" w:cs="Times New Roman" w:hAnsi="Times New Roman" w:hint="eastAsia"/>
          <w:kern w:val="2"/>
          <w:sz w:val="33"/>
          <w:szCs w:val="33"/>
          <w:lang w:val="en-US" w:eastAsia="zh-CN" w:bidi="ar-SA"/>
        </w:rPr>
      </w:pPr>
      <w:r>
        <w:rPr>
          <w:rFonts w:ascii="Times New Roman" w:eastAsia="方正仿宋_GBK" w:cs="Times New Roman" w:hAnsi="Times New Roman" w:hint="eastAsia"/>
          <w:kern w:val="2"/>
          <w:sz w:val="33"/>
          <w:szCs w:val="33"/>
          <w:lang w:val="en-US" w:eastAsia="zh-CN" w:bidi="ar-SA"/>
        </w:rPr>
        <w:t>2.效益指标完成情况分析。10个项目均达到预期社会效益指标和可持续影响指标值。</w:t>
      </w:r>
    </w:p>
    <w:p>
      <w:pPr>
        <w:ind w:firstLineChars="200" w:firstLine="660"/>
        <w:rPr>
          <w:rFonts w:ascii="Times New Roman" w:eastAsia="方正仿宋_GBK" w:cs="Times New Roman" w:hAnsi="Times New Roman" w:hint="eastAsia"/>
          <w:kern w:val="2"/>
          <w:sz w:val="33"/>
          <w:szCs w:val="33"/>
          <w:lang w:val="en-US" w:eastAsia="zh-CN" w:bidi="ar-SA"/>
        </w:rPr>
      </w:pPr>
      <w:r>
        <w:rPr>
          <w:rFonts w:ascii="Times New Roman" w:eastAsia="方正仿宋_GBK" w:cs="Times New Roman" w:hAnsi="Times New Roman" w:hint="eastAsia"/>
          <w:kern w:val="2"/>
          <w:sz w:val="33"/>
          <w:szCs w:val="33"/>
          <w:lang w:val="en-US" w:eastAsia="zh-CN" w:bidi="ar-SA"/>
        </w:rPr>
        <w:t>3.满意度指标完成情况分析。各项目服务对象满意度均达到目标值，满意度高。</w:t>
      </w:r>
    </w:p>
    <w:p>
      <w:pPr>
        <w:rPr>
          <w:rFonts w:ascii="方正黑体_GBK" w:eastAsia="方正黑体_GBK"/>
          <w:sz w:val="33"/>
          <w:szCs w:val="33"/>
        </w:rPr>
      </w:pPr>
      <w:r>
        <w:rPr>
          <w:rFonts w:ascii="方正黑体_GBK" w:eastAsia="方正黑体_GBK" w:hint="eastAsia"/>
          <w:sz w:val="33"/>
          <w:szCs w:val="33"/>
        </w:rPr>
        <w:t xml:space="preserve">     四、评价结论及建议</w:t>
      </w:r>
    </w:p>
    <w:p>
      <w:pPr>
        <w:widowControl/>
        <w:adjustRightInd w:val="0"/>
        <w:snapToGrid w:val="0"/>
        <w:spacing w:line="580" w:lineRule="exact"/>
        <w:ind w:firstLineChars="200" w:firstLine="660"/>
        <w:contextualSpacing/>
        <w:jc w:val="left"/>
        <w:rPr>
          <w:rFonts w:ascii="方正楷体_GBK" w:eastAsia="方正楷体_GBK"/>
          <w:b/>
          <w:sz w:val="33"/>
          <w:szCs w:val="33"/>
        </w:rPr>
      </w:pPr>
      <w:r>
        <w:rPr>
          <w:rFonts w:ascii="方正楷体_GBK" w:eastAsia="方正楷体_GBK" w:hint="eastAsia"/>
          <w:b/>
          <w:sz w:val="33"/>
          <w:szCs w:val="33"/>
        </w:rPr>
        <w:t>（一）评价结论</w:t>
      </w:r>
    </w:p>
    <w:p>
      <w:pPr>
        <w:ind w:firstLineChars="200" w:firstLine="660"/>
        <w:rPr>
          <w:rFonts w:ascii="Times New Roman" w:eastAsia="方正仿宋_GBK" w:cs="Times New Roman" w:hAnsi="Times New Roman" w:hint="eastAsia"/>
          <w:sz w:val="33"/>
          <w:szCs w:val="33"/>
        </w:rPr>
      </w:pPr>
      <w:r>
        <w:rPr>
          <w:rFonts w:ascii="Times New Roman" w:eastAsia="方正仿宋_GBK" w:cs="Times New Roman" w:hAnsi="Times New Roman" w:hint="eastAsia"/>
          <w:sz w:val="33"/>
          <w:szCs w:val="33"/>
        </w:rPr>
        <w:t>我部门认真开展了自评工作。2023年部门重视预算编制，严格执行预算，在执行财政预算过程中，严格按照资金运行管理要求安排，积极履行职责，强化科学管理，保障政策落实到位，切实做到了资金专项专用，无截留、无挪用，有效发挥了财政资金的使用效率；继续强化了预算绩效意识，严格按照预算项目支出绩效目标开展工作，并及时调整项目预算执行进度，提升预算管理水平，圆满完成各项工作任务。绩效自评结果已在单位内网公示。</w:t>
      </w:r>
    </w:p>
    <w:p>
      <w:pPr>
        <w:widowControl/>
        <w:adjustRightInd w:val="0"/>
        <w:snapToGrid w:val="0"/>
        <w:spacing w:line="580" w:lineRule="exact"/>
        <w:ind w:firstLineChars="200" w:firstLine="660"/>
        <w:contextualSpacing/>
        <w:jc w:val="left"/>
        <w:rPr>
          <w:rFonts w:ascii="方正楷体_GBK" w:eastAsia="方正楷体_GBK"/>
          <w:b/>
          <w:sz w:val="33"/>
          <w:szCs w:val="33"/>
        </w:rPr>
      </w:pPr>
      <w:r>
        <w:rPr>
          <w:rFonts w:ascii="方正楷体_GBK" w:eastAsia="方正楷体_GBK" w:hint="eastAsia"/>
          <w:b/>
          <w:sz w:val="33"/>
          <w:szCs w:val="33"/>
        </w:rPr>
        <w:t>（二）存在问题</w:t>
      </w:r>
    </w:p>
    <w:p>
      <w:pPr>
        <w:widowControl/>
        <w:adjustRightInd w:val="0"/>
        <w:snapToGrid w:val="0"/>
        <w:spacing w:line="580" w:lineRule="exact"/>
        <w:ind w:firstLineChars="200" w:firstLine="660"/>
        <w:contextualSpacing/>
        <w:jc w:val="left"/>
        <w:rPr>
          <w:rFonts w:eastAsia="方正仿宋_GBK"/>
          <w:sz w:val="33"/>
          <w:szCs w:val="33"/>
        </w:rPr>
      </w:pPr>
      <w:r>
        <w:rPr>
          <w:rFonts w:eastAsia="方正仿宋_GBK" w:hint="eastAsia"/>
          <w:sz w:val="33"/>
          <w:szCs w:val="33"/>
        </w:rPr>
        <w:t>本部门在预算项目执行中，还存在项目推进有滞后的情况。</w:t>
      </w:r>
    </w:p>
    <w:p>
      <w:pPr>
        <w:widowControl/>
        <w:adjustRightInd w:val="0"/>
        <w:snapToGrid w:val="0"/>
        <w:spacing w:line="580" w:lineRule="exact"/>
        <w:ind w:firstLineChars="200" w:firstLine="660"/>
        <w:contextualSpacing/>
        <w:jc w:val="left"/>
        <w:rPr>
          <w:rFonts w:ascii="方正楷体_GBK" w:eastAsia="方正楷体_GBK"/>
          <w:b/>
          <w:sz w:val="33"/>
          <w:szCs w:val="33"/>
        </w:rPr>
      </w:pPr>
      <w:r>
        <w:rPr>
          <w:rFonts w:ascii="方正楷体_GBK" w:eastAsia="方正楷体_GBK"/>
          <w:b/>
          <w:sz w:val="33"/>
          <w:szCs w:val="33"/>
        </w:rPr>
        <w:t>（三）改进建议</w:t>
      </w:r>
    </w:p>
    <w:p>
      <w:pPr>
        <w:ind w:firstLineChars="200" w:firstLine="660"/>
        <w:rPr>
          <w:rFonts w:ascii="Times New Roman" w:eastAsia="方正仿宋_GBK" w:cs="Times New Roman" w:hAnsi="Times New Roman" w:hint="eastAsia"/>
          <w:sz w:val="33"/>
          <w:szCs w:val="33"/>
          <w:lang w:val="zh-CN"/>
        </w:rPr>
      </w:pPr>
      <w:r>
        <w:rPr>
          <w:rFonts w:ascii="Times New Roman" w:eastAsia="方正仿宋_GBK" w:cs="Times New Roman" w:hAnsi="Times New Roman" w:hint="eastAsia"/>
          <w:sz w:val="33"/>
          <w:szCs w:val="33"/>
        </w:rPr>
        <w:t xml:space="preserve">结合工作实际，进一步加强绩效目标的事前、事中和事后管理，做到科学设置绩效目标，有效实施绩效目标期中监控，及时与项目推进主要负责部门进行沟通，对出现偏差、进度滞后的项目及时进行调整和催促，深入推进财政资金绩效评价，提高资金完成率，强化绩效结果应用，充分发挥财政资金使用绩效，更好服务政协高质量履职工作。      </w:t>
      </w:r>
    </w:p>
    <w:p>
      <w:pPr>
        <w:rPr>
          <w:rFonts w:eastAsia="仿宋_GB2312"/>
          <w:sz w:val="32"/>
          <w:szCs w:val="32"/>
          <w:lang w:val="zh-CN"/>
        </w:rPr>
      </w:pPr>
    </w:p>
    <w:p>
      <w:pPr>
        <w:ind w:firstLineChars="200" w:firstLine="660"/>
        <w:rPr>
          <w:rFonts w:ascii="Times New Roman" w:eastAsia="方正仿宋_GBK" w:cs="Times New Roman" w:hAnsi="Times New Roman"/>
          <w:sz w:val="33"/>
          <w:szCs w:val="33"/>
          <w:lang w:val="zh-CN"/>
        </w:rPr>
      </w:pPr>
      <w:r>
        <w:rPr>
          <w:rFonts w:ascii="Times New Roman" w:eastAsia="方正仿宋_GBK" w:cs="Times New Roman" w:hAnsi="Times New Roman"/>
          <w:sz w:val="33"/>
          <w:szCs w:val="33"/>
          <w:lang w:val="zh-CN"/>
        </w:rPr>
        <w:t>附表：</w:t>
      </w:r>
      <w:r>
        <w:rPr>
          <w:rFonts w:ascii="Times New Roman" w:eastAsia="方正仿宋_GBK" w:cs="Times New Roman" w:hAnsi="Times New Roman"/>
          <w:sz w:val="33"/>
          <w:szCs w:val="33"/>
        </w:rPr>
        <w:t>部门</w:t>
      </w:r>
      <w:r>
        <w:rPr>
          <w:rFonts w:ascii="Times New Roman" w:eastAsia="方正仿宋_GBK" w:cs="Times New Roman" w:hAnsi="Times New Roman"/>
          <w:sz w:val="33"/>
          <w:szCs w:val="33"/>
          <w:lang w:val="zh-CN"/>
        </w:rPr>
        <w:t>预算项目支出绩效自评表（2023年度）</w:t>
      </w:r>
    </w:p>
    <w:p>
      <w:pPr>
        <w:pStyle w:val="15"/>
        <w:rPr>
          <w:lang w:val="zh-CN"/>
        </w:rPr>
      </w:pPr>
    </w:p>
    <w:p>
      <w:pPr>
        <w:rPr>
          <w:lang w:val="zh-CN"/>
        </w:rPr>
      </w:pPr>
    </w:p>
    <w:p>
      <w:pPr>
        <w:pStyle w:val="15"/>
        <w:rPr>
          <w:lang w:val="zh-CN"/>
        </w:rPr>
      </w:pPr>
    </w:p>
    <w:p>
      <w:pPr>
        <w:rPr>
          <w:lang w:val="zh-CN"/>
        </w:rPr>
      </w:pPr>
    </w:p>
    <w:p/>
    <w:p>
      <w:pPr>
        <w:pStyle w:val="15"/>
      </w:pPr>
    </w:p>
    <w:p/>
    <w:p>
      <w:pPr>
        <w:pStyle w:val="15"/>
      </w:pPr>
    </w:p>
    <w:p/>
    <w:p>
      <w:pPr>
        <w:pStyle w:val="15"/>
      </w:pPr>
    </w:p>
    <w:p/>
    <w:p>
      <w:pPr>
        <w:rPr>
          <w:rFonts w:ascii="方正仿宋_GBK" w:eastAsia="方正仿宋_GBK" w:cs="Times New Roman" w:hint="eastAsia"/>
          <w:sz w:val="33"/>
          <w:szCs w:val="33"/>
        </w:rPr>
      </w:pPr>
      <w:r>
        <w:rPr>
          <w:rFonts w:ascii="方正仿宋_GBK" w:eastAsia="方正仿宋_GBK" w:cs="Times New Roman" w:hint="eastAsia"/>
          <w:sz w:val="33"/>
          <w:szCs w:val="33"/>
        </w:rPr>
        <w:t>附件2</w:t>
      </w:r>
    </w:p>
    <w:p>
      <w:pPr>
        <w:jc w:val="center"/>
        <w:rPr>
          <w:rFonts w:ascii="方正小标宋_GBK" w:eastAsia="方正小标宋_GBK"/>
          <w:sz w:val="38"/>
          <w:szCs w:val="38"/>
        </w:rPr>
      </w:pPr>
      <w:r>
        <w:rPr>
          <w:rFonts w:ascii="方正小标宋_GBK" w:eastAsia="方正小标宋_GBK" w:hint="eastAsia"/>
          <w:sz w:val="38"/>
          <w:szCs w:val="38"/>
        </w:rPr>
        <w:t>专项预算项目绩效评价报告</w:t>
      </w:r>
    </w:p>
    <w:p>
      <w:pPr>
        <w:rPr>
          <w:rFonts w:eastAsia="仿宋_GB2312"/>
          <w:sz w:val="32"/>
          <w:szCs w:val="32"/>
          <w:lang w:val="zh-CN"/>
        </w:rPr>
      </w:pPr>
    </w:p>
    <w:p>
      <w:pPr>
        <w:ind w:firstLineChars="200" w:firstLine="660"/>
        <w:rPr>
          <w:rFonts w:ascii="方正黑体_GBK" w:eastAsia="方正黑体_GBK"/>
          <w:sz w:val="33"/>
          <w:szCs w:val="33"/>
          <w:lang w:val="zh-CN"/>
        </w:rPr>
      </w:pPr>
      <w:r>
        <w:rPr>
          <w:rFonts w:ascii="方正黑体_GBK" w:eastAsia="方正黑体_GBK" w:hint="eastAsia"/>
          <w:sz w:val="33"/>
          <w:szCs w:val="33"/>
          <w:lang w:val="zh-CN"/>
        </w:rPr>
        <w:t>一、项目概况</w:t>
      </w:r>
    </w:p>
    <w:p>
      <w:pPr>
        <w:ind w:firstLineChars="200" w:firstLine="660"/>
        <w:rPr>
          <w:rFonts w:ascii="方正楷体_GBK" w:eastAsia="方正楷体_GBK"/>
          <w:sz w:val="33"/>
          <w:szCs w:val="33"/>
          <w:lang w:val="zh-CN"/>
        </w:rPr>
      </w:pPr>
      <w:r>
        <w:rPr>
          <w:rFonts w:ascii="方正楷体_GBK" w:eastAsia="方正楷体_GBK" w:hint="eastAsia"/>
          <w:b/>
          <w:sz w:val="33"/>
          <w:szCs w:val="33"/>
          <w:lang w:val="zh-CN"/>
        </w:rPr>
        <w:t>（一）设立背景及基本情况</w:t>
      </w:r>
    </w:p>
    <w:p>
      <w:pPr>
        <w:pStyle w:val="16"/>
        <w:spacing w:beforeLines="0" w:before="93"/>
        <w:rPr>
          <w:rFonts w:ascii="Times New Roman" w:eastAsia="方正仿宋_GBK" w:cs="Times New Roman" w:hAnsi="Times New Roman" w:hint="eastAsia"/>
          <w:kern w:val="2"/>
          <w:sz w:val="33"/>
          <w:szCs w:val="33"/>
          <w:lang w:val="en-US" w:eastAsia="zh-CN" w:bidi="ar-SA"/>
        </w:rPr>
      </w:pPr>
      <w:r>
        <w:rPr>
          <w:rFonts w:eastAsia="方正仿宋_GBK" w:hint="eastAsia"/>
          <w:sz w:val="33"/>
          <w:szCs w:val="33"/>
        </w:rPr>
        <w:t xml:space="preserve"> </w:t>
      </w:r>
      <w:r>
        <w:rPr>
          <w:rFonts w:ascii="Times New Roman" w:eastAsia="方正仿宋_GBK" w:cs="Times New Roman" w:hAnsi="Times New Roman" w:hint="eastAsia"/>
          <w:kern w:val="2"/>
          <w:sz w:val="33"/>
          <w:szCs w:val="33"/>
          <w:lang w:val="en-US" w:eastAsia="zh-CN" w:bidi="ar-SA"/>
        </w:rPr>
        <w:t xml:space="preserve">    政治协商会议项目经费是保障中国人民政治协商会议四川省攀枝花市委员会全体会议、常委会会议、主席会议、秘书长会议和其他重要会议的正常召开，是本部门常规性项目。</w:t>
      </w:r>
    </w:p>
    <w:p>
      <w:pPr>
        <w:ind w:firstLineChars="200" w:firstLine="660"/>
        <w:rPr>
          <w:rFonts w:ascii="方正楷体_GBK" w:eastAsia="方正楷体_GBK"/>
          <w:b/>
          <w:sz w:val="33"/>
          <w:szCs w:val="33"/>
          <w:lang w:val="zh-CN"/>
        </w:rPr>
      </w:pPr>
      <w:r>
        <w:rPr>
          <w:rFonts w:ascii="方正楷体_GBK" w:eastAsia="方正楷体_GBK" w:hint="eastAsia"/>
          <w:b/>
          <w:sz w:val="33"/>
          <w:szCs w:val="33"/>
          <w:lang w:val="zh-CN"/>
        </w:rPr>
        <w:t>（二）实施目的及支持方向</w:t>
      </w:r>
    </w:p>
    <w:p>
      <w:pPr>
        <w:ind w:firstLineChars="200" w:firstLine="660"/>
        <w:rPr>
          <w:rFonts w:ascii="Times New Roman" w:eastAsia="方正仿宋_GBK" w:cs="Times New Roman" w:hAnsi="Times New Roman" w:hint="eastAsia"/>
          <w:kern w:val="2"/>
          <w:sz w:val="33"/>
          <w:szCs w:val="33"/>
          <w:lang w:val="en-US" w:eastAsia="zh-CN" w:bidi="ar-SA"/>
        </w:rPr>
      </w:pPr>
      <w:r>
        <w:rPr>
          <w:rFonts w:ascii="Times New Roman" w:eastAsia="方正仿宋_GBK" w:cs="Times New Roman" w:hAnsi="Times New Roman" w:hint="eastAsia"/>
          <w:kern w:val="2"/>
          <w:sz w:val="33"/>
          <w:szCs w:val="33"/>
          <w:lang w:val="en-US" w:eastAsia="zh-CN" w:bidi="ar-SA"/>
        </w:rPr>
        <w:t>政治协商会议项目是为了让全市政协委员更好地“凝心聚力”、“参政议政”，为攀枝花市的建设建言献策。</w:t>
      </w:r>
    </w:p>
    <w:p>
      <w:pPr>
        <w:ind w:firstLineChars="200" w:firstLine="660"/>
        <w:rPr>
          <w:rFonts w:ascii="方正楷体_GBK" w:eastAsia="方正楷体_GBK"/>
          <w:b/>
          <w:sz w:val="33"/>
          <w:szCs w:val="33"/>
          <w:lang w:val="zh-CN"/>
        </w:rPr>
      </w:pPr>
      <w:r>
        <w:rPr>
          <w:rFonts w:ascii="方正楷体_GBK" w:eastAsia="方正楷体_GBK" w:hint="eastAsia"/>
          <w:b/>
          <w:sz w:val="33"/>
          <w:szCs w:val="33"/>
          <w:lang w:val="zh-CN"/>
        </w:rPr>
        <w:t>（三）预算安排及分配管理</w:t>
      </w:r>
    </w:p>
    <w:p>
      <w:pPr>
        <w:autoSpaceDE w:val="0"/>
        <w:autoSpaceDN w:val="0"/>
        <w:adjustRightInd w:val="0"/>
        <w:spacing w:line="600" w:lineRule="exact"/>
        <w:ind w:firstLineChars="200" w:firstLine="660"/>
        <w:jc w:val="left"/>
        <w:rPr>
          <w:rFonts w:ascii="仿宋_GB2312" w:hAnsi="仿宋_GB2312"/>
          <w:kern w:val="0"/>
          <w:sz w:val="33"/>
          <w:szCs w:val="33"/>
        </w:rPr>
      </w:pPr>
      <w:r>
        <w:rPr>
          <w:rFonts w:eastAsia="方正仿宋_GBK" w:hint="eastAsia"/>
          <w:sz w:val="33"/>
          <w:szCs w:val="33"/>
        </w:rPr>
        <w:t>为保证项目的顺利实施，</w:t>
      </w:r>
      <w:r>
        <w:rPr>
          <w:rFonts w:eastAsia="方正仿宋_GBK"/>
          <w:sz w:val="33"/>
          <w:szCs w:val="33"/>
        </w:rPr>
        <w:t>中国人民政治协商会议四川省攀枝花市委员会</w:t>
      </w:r>
      <w:r>
        <w:rPr>
          <w:rFonts w:eastAsia="方正仿宋_GBK" w:hint="eastAsia"/>
          <w:sz w:val="33"/>
          <w:szCs w:val="33"/>
        </w:rPr>
        <w:t>办公室在使用资金过程中严格执行财务管理制度，每一笔经济业务都按照程序进行申报、审批，项目专款专用。对于重大的业务和事项，实行集体决策审批共同做出决定。</w:t>
      </w:r>
    </w:p>
    <w:p>
      <w:pPr>
        <w:ind w:firstLineChars="200" w:firstLine="660"/>
        <w:rPr>
          <w:rFonts w:ascii="方正楷体_GBK" w:eastAsia="方正楷体_GBK"/>
          <w:b/>
          <w:sz w:val="33"/>
          <w:szCs w:val="33"/>
          <w:lang w:val="zh-CN"/>
        </w:rPr>
      </w:pPr>
      <w:r>
        <w:rPr>
          <w:rFonts w:ascii="方正楷体_GBK" w:eastAsia="方正楷体_GBK" w:hint="eastAsia"/>
          <w:b/>
          <w:sz w:val="33"/>
          <w:szCs w:val="33"/>
          <w:lang w:val="zh-CN"/>
        </w:rPr>
        <w:t>（四）项目绩效目标设置</w:t>
      </w:r>
    </w:p>
    <w:p>
      <w:pPr>
        <w:ind w:firstLineChars="200" w:firstLine="660"/>
        <w:rPr>
          <w:rFonts w:ascii="Times New Roman" w:eastAsia="方正仿宋_GBK" w:cs="Times New Roman" w:hAnsi="Times New Roman" w:hint="eastAsia"/>
          <w:sz w:val="33"/>
          <w:szCs w:val="33"/>
        </w:rPr>
      </w:pPr>
      <w:r>
        <w:rPr>
          <w:rFonts w:ascii="Times New Roman" w:eastAsia="方正仿宋_GBK" w:cs="Times New Roman" w:hAnsi="Times New Roman" w:hint="eastAsia"/>
          <w:sz w:val="33"/>
          <w:szCs w:val="33"/>
        </w:rPr>
        <w:t>2023年政治协商会议项目经费年初预算95.63万元，为财政全额拨款，指标已全部下达到位，到位率100%。实际支付95.63万元，资金使用率为100%。</w:t>
      </w:r>
    </w:p>
    <w:p>
      <w:pPr>
        <w:ind w:firstLineChars="200" w:firstLine="660"/>
        <w:rPr>
          <w:rFonts w:ascii="方正黑体_GBK" w:eastAsia="方正黑体_GBK"/>
          <w:sz w:val="33"/>
          <w:szCs w:val="33"/>
          <w:lang w:val="zh-CN"/>
        </w:rPr>
      </w:pPr>
      <w:r>
        <w:rPr>
          <w:rFonts w:ascii="方正黑体_GBK" w:eastAsia="方正黑体_GBK" w:hint="eastAsia"/>
          <w:sz w:val="33"/>
          <w:szCs w:val="33"/>
          <w:lang w:val="zh-CN"/>
        </w:rPr>
        <w:t>二、评价实施</w:t>
      </w:r>
    </w:p>
    <w:p>
      <w:pPr>
        <w:ind w:firstLineChars="200" w:firstLine="660"/>
        <w:rPr>
          <w:rFonts w:ascii="方正楷体_GBK" w:eastAsia="方正楷体_GBK"/>
          <w:b/>
          <w:sz w:val="33"/>
          <w:szCs w:val="33"/>
          <w:lang w:val="zh-CN"/>
        </w:rPr>
      </w:pPr>
      <w:r>
        <w:rPr>
          <w:rFonts w:ascii="方正楷体_GBK" w:eastAsia="方正楷体_GBK" w:hint="eastAsia"/>
          <w:b/>
          <w:sz w:val="33"/>
          <w:szCs w:val="33"/>
          <w:lang w:val="zh-CN"/>
        </w:rPr>
        <w:t>（一）评价目的</w:t>
      </w:r>
    </w:p>
    <w:p>
      <w:pPr>
        <w:ind w:firstLineChars="200" w:firstLine="660"/>
        <w:rPr>
          <w:rFonts w:ascii="Times New Roman" w:eastAsia="方正仿宋_GBK" w:cs="Times New Roman" w:hAnsi="Times New Roman" w:hint="eastAsia"/>
          <w:sz w:val="33"/>
          <w:szCs w:val="33"/>
          <w:lang w:val="zh-CN"/>
        </w:rPr>
      </w:pPr>
      <w:r>
        <w:rPr>
          <w:rFonts w:ascii="Times New Roman" w:eastAsia="方正仿宋_GBK" w:cs="Times New Roman" w:hAnsi="Times New Roman" w:hint="eastAsia"/>
          <w:sz w:val="33"/>
          <w:szCs w:val="33"/>
        </w:rPr>
        <w:t>保障中国人民政治协商会议四川省攀枝花市委员会全体会议、常委会会议、主席会议、秘书长会议和其他重要会议的正常召开。</w:t>
      </w:r>
    </w:p>
    <w:p>
      <w:pPr>
        <w:ind w:firstLineChars="200" w:firstLine="660"/>
        <w:rPr>
          <w:rFonts w:ascii="方正楷体_GBK" w:eastAsia="方正楷体_GBK"/>
          <w:b/>
          <w:sz w:val="33"/>
          <w:szCs w:val="33"/>
          <w:lang w:val="zh-CN"/>
        </w:rPr>
      </w:pPr>
      <w:r>
        <w:rPr>
          <w:rFonts w:ascii="方正楷体_GBK" w:eastAsia="方正楷体_GBK" w:hint="eastAsia"/>
          <w:b/>
          <w:sz w:val="33"/>
          <w:szCs w:val="33"/>
          <w:lang w:val="zh-CN"/>
        </w:rPr>
        <w:t>（二）预设问题及评价重点</w:t>
      </w:r>
    </w:p>
    <w:p>
      <w:pPr>
        <w:ind w:firstLineChars="200" w:firstLine="660"/>
        <w:rPr>
          <w:rFonts w:ascii="Times New Roman" w:eastAsia="方正仿宋_GBK" w:cs="Times New Roman" w:hAnsi="Times New Roman" w:hint="eastAsia"/>
          <w:sz w:val="33"/>
          <w:szCs w:val="33"/>
        </w:rPr>
      </w:pPr>
      <w:r>
        <w:rPr>
          <w:rFonts w:ascii="Times New Roman" w:eastAsia="方正仿宋_GBK" w:cs="Times New Roman" w:hAnsi="Times New Roman" w:hint="eastAsia"/>
          <w:sz w:val="33"/>
          <w:szCs w:val="33"/>
        </w:rPr>
        <w:t>政治协商会议项目经费申报与实际执行情况相符。</w:t>
      </w:r>
    </w:p>
    <w:p>
      <w:pPr>
        <w:ind w:firstLineChars="200" w:firstLine="660"/>
        <w:rPr>
          <w:rFonts w:ascii="方正楷体_GBK" w:eastAsia="方正楷体_GBK"/>
          <w:b/>
          <w:sz w:val="33"/>
          <w:szCs w:val="33"/>
          <w:lang w:val="zh-CN"/>
        </w:rPr>
      </w:pPr>
      <w:r>
        <w:rPr>
          <w:rFonts w:ascii="方正楷体_GBK" w:eastAsia="方正楷体_GBK" w:hint="eastAsia"/>
          <w:b/>
          <w:sz w:val="33"/>
          <w:szCs w:val="33"/>
          <w:lang w:val="zh-CN"/>
        </w:rPr>
        <w:t>（三）评价选点。</w:t>
      </w:r>
    </w:p>
    <w:p>
      <w:pPr>
        <w:ind w:firstLineChars="200" w:firstLine="660"/>
        <w:rPr>
          <w:rFonts w:ascii="Times New Roman" w:eastAsia="方正仿宋_GBK" w:cs="Times New Roman" w:hAnsi="Times New Roman" w:hint="eastAsia"/>
          <w:sz w:val="33"/>
          <w:szCs w:val="33"/>
          <w:lang w:val="zh-CN"/>
        </w:rPr>
      </w:pPr>
      <w:r>
        <w:rPr>
          <w:rFonts w:ascii="Times New Roman" w:eastAsia="方正仿宋_GBK" w:cs="Times New Roman" w:hAnsi="Times New Roman" w:hint="eastAsia"/>
          <w:sz w:val="33"/>
          <w:szCs w:val="33"/>
          <w:lang w:val="zh-CN"/>
        </w:rPr>
        <w:t>项目绩效自评情况真实</w:t>
      </w:r>
    </w:p>
    <w:p>
      <w:pPr>
        <w:ind w:firstLineChars="200" w:firstLine="660"/>
        <w:rPr>
          <w:rFonts w:ascii="方正楷体_GBK" w:eastAsia="方正楷体_GBK"/>
          <w:b/>
          <w:sz w:val="33"/>
          <w:szCs w:val="33"/>
          <w:lang w:val="zh-CN"/>
        </w:rPr>
      </w:pPr>
      <w:r>
        <w:rPr>
          <w:rFonts w:ascii="方正楷体_GBK" w:eastAsia="方正楷体_GBK" w:hint="eastAsia"/>
          <w:b/>
          <w:sz w:val="33"/>
          <w:szCs w:val="33"/>
          <w:lang w:val="zh-CN"/>
        </w:rPr>
        <w:t>（四）评价方法</w:t>
      </w:r>
    </w:p>
    <w:p>
      <w:pPr>
        <w:ind w:firstLineChars="200" w:firstLine="660"/>
        <w:rPr>
          <w:rFonts w:ascii="Times New Roman" w:eastAsia="方正仿宋_GBK" w:cs="Times New Roman" w:hAnsi="Times New Roman" w:hint="eastAsia"/>
          <w:sz w:val="33"/>
          <w:szCs w:val="33"/>
          <w:lang w:val="zh-CN"/>
        </w:rPr>
      </w:pPr>
      <w:r>
        <w:rPr>
          <w:rFonts w:ascii="Times New Roman" w:eastAsia="方正仿宋_GBK" w:cs="Times New Roman" w:hAnsi="Times New Roman" w:hint="eastAsia"/>
          <w:sz w:val="33"/>
          <w:szCs w:val="33"/>
          <w:lang w:val="zh-CN"/>
        </w:rPr>
        <w:t>根据项目情况和评价重点，单位自评法、座谈调研法等多种方法。</w:t>
      </w:r>
    </w:p>
    <w:p>
      <w:pPr>
        <w:ind w:firstLineChars="200" w:firstLine="660"/>
        <w:rPr>
          <w:rFonts w:ascii="方正楷体_GBK" w:eastAsia="方正楷体_GBK"/>
          <w:b/>
          <w:sz w:val="33"/>
          <w:szCs w:val="33"/>
          <w:lang w:val="zh-CN"/>
        </w:rPr>
      </w:pPr>
      <w:r>
        <w:rPr>
          <w:rFonts w:ascii="方正楷体_GBK" w:eastAsia="方正楷体_GBK" w:hint="eastAsia"/>
          <w:b/>
          <w:sz w:val="33"/>
          <w:szCs w:val="33"/>
          <w:lang w:val="zh-CN"/>
        </w:rPr>
        <w:t>（五）评价组织</w:t>
      </w:r>
    </w:p>
    <w:p>
      <w:pPr>
        <w:ind w:firstLineChars="200" w:firstLine="660"/>
        <w:rPr>
          <w:rFonts w:ascii="Times New Roman" w:eastAsia="方正仿宋_GBK" w:cs="Times New Roman" w:hAnsi="Times New Roman" w:hint="eastAsia"/>
          <w:sz w:val="33"/>
          <w:szCs w:val="33"/>
          <w:lang w:val="zh-CN"/>
        </w:rPr>
      </w:pPr>
      <w:r>
        <w:rPr>
          <w:rFonts w:ascii="Times New Roman" w:eastAsia="方正仿宋_GBK" w:cs="Times New Roman" w:hAnsi="Times New Roman" w:hint="eastAsia"/>
          <w:sz w:val="33"/>
          <w:szCs w:val="33"/>
          <w:lang w:val="zh-CN"/>
        </w:rPr>
        <w:t>项目负责人、分管领导及驻机关纪检组。以项目完成数量级质量情况为准。</w:t>
      </w:r>
    </w:p>
    <w:p>
      <w:pPr>
        <w:ind w:firstLineChars="200" w:firstLine="660"/>
        <w:rPr>
          <w:rFonts w:ascii="方正黑体_GBK" w:eastAsia="方正黑体_GBK"/>
          <w:sz w:val="33"/>
          <w:szCs w:val="33"/>
          <w:lang w:val="zh-CN"/>
        </w:rPr>
      </w:pPr>
      <w:r>
        <w:rPr>
          <w:rFonts w:ascii="方正黑体_GBK" w:eastAsia="方正黑体_GBK" w:hint="eastAsia"/>
          <w:sz w:val="33"/>
          <w:szCs w:val="33"/>
          <w:lang w:val="zh-CN"/>
        </w:rPr>
        <w:t>三、绩效分析</w:t>
      </w:r>
    </w:p>
    <w:p>
      <w:pPr>
        <w:ind w:firstLineChars="200" w:firstLine="660"/>
        <w:rPr>
          <w:rFonts w:ascii="方正楷体_GBK" w:eastAsia="方正楷体_GBK"/>
          <w:b/>
          <w:sz w:val="33"/>
          <w:szCs w:val="33"/>
          <w:lang w:val="zh-CN"/>
        </w:rPr>
      </w:pPr>
      <w:r>
        <w:rPr>
          <w:rFonts w:ascii="方正楷体_GBK" w:eastAsia="方正楷体_GBK" w:hint="eastAsia"/>
          <w:b/>
          <w:sz w:val="33"/>
          <w:szCs w:val="33"/>
          <w:lang w:val="zh-CN"/>
        </w:rPr>
        <w:t>（一）通用指标绩效分析</w:t>
      </w:r>
    </w:p>
    <w:p>
      <w:pPr>
        <w:ind w:firstLineChars="200" w:firstLine="660"/>
        <w:rPr>
          <w:rFonts w:ascii="Times New Roman" w:eastAsia="方正仿宋_GBK" w:cs="Times New Roman" w:hAnsi="Times New Roman" w:hint="eastAsia"/>
          <w:sz w:val="33"/>
          <w:szCs w:val="33"/>
          <w:lang w:val="zh-CN"/>
        </w:rPr>
      </w:pPr>
      <w:r>
        <w:rPr>
          <w:rFonts w:ascii="Times New Roman" w:eastAsia="方正仿宋_GBK" w:cs="Times New Roman" w:hAnsi="Times New Roman" w:hint="eastAsia"/>
          <w:sz w:val="33"/>
          <w:szCs w:val="33"/>
          <w:lang w:val="zh-CN"/>
        </w:rPr>
        <w:t>1.项目决策。根据常规性会议、市委、市政府工作任务进行项目申报。</w:t>
      </w:r>
    </w:p>
    <w:p>
      <w:pPr>
        <w:ind w:firstLineChars="200" w:firstLine="660"/>
        <w:rPr>
          <w:rFonts w:ascii="Times New Roman" w:eastAsia="方正仿宋_GBK" w:cs="Times New Roman" w:hAnsi="Times New Roman" w:hint="eastAsia"/>
          <w:sz w:val="33"/>
          <w:szCs w:val="33"/>
          <w:lang w:val="zh-CN"/>
        </w:rPr>
      </w:pPr>
      <w:r>
        <w:rPr>
          <w:rFonts w:ascii="Times New Roman" w:eastAsia="方正仿宋_GBK" w:cs="Times New Roman" w:hAnsi="Times New Roman" w:hint="eastAsia"/>
          <w:sz w:val="33"/>
          <w:szCs w:val="33"/>
          <w:lang w:val="zh-CN"/>
        </w:rPr>
        <w:t>2.项目管理。严格按照先申报、审批，后拨付等项目管理制度使用，完全符合《预算法》及财务管理相关制度，会计资料完整、真实，确保了专款专用、安全规范。</w:t>
      </w:r>
    </w:p>
    <w:p>
      <w:pPr>
        <w:ind w:firstLineChars="200" w:firstLine="660"/>
        <w:rPr>
          <w:rFonts w:ascii="Times New Roman" w:eastAsia="方正仿宋_GBK" w:cs="Times New Roman" w:hAnsi="Times New Roman" w:hint="eastAsia"/>
          <w:sz w:val="33"/>
          <w:szCs w:val="33"/>
          <w:lang w:val="zh-CN"/>
        </w:rPr>
      </w:pPr>
      <w:r>
        <w:rPr>
          <w:rFonts w:ascii="Times New Roman" w:eastAsia="方正仿宋_GBK" w:cs="Times New Roman" w:hAnsi="Times New Roman" w:hint="eastAsia"/>
          <w:sz w:val="33"/>
          <w:szCs w:val="33"/>
          <w:lang w:val="zh-CN"/>
        </w:rPr>
        <w:t xml:space="preserve">3.项目实施。截止2023年12月31日，政治协商会议项目经费年初预算95.63万元，财政下达资金95.63万元，资金到位率100%；支出95.63万元，资金执行率100%。  </w:t>
      </w:r>
    </w:p>
    <w:p>
      <w:pPr>
        <w:ind w:firstLineChars="200" w:firstLine="660"/>
        <w:rPr>
          <w:rFonts w:ascii="Times New Roman" w:eastAsia="方正仿宋_GBK" w:cs="Times New Roman" w:hAnsi="Times New Roman" w:hint="eastAsia"/>
          <w:sz w:val="33"/>
          <w:szCs w:val="33"/>
          <w:lang w:val="zh-CN"/>
        </w:rPr>
      </w:pPr>
      <w:r>
        <w:rPr>
          <w:rFonts w:ascii="Times New Roman" w:eastAsia="方正仿宋_GBK" w:cs="Times New Roman" w:hAnsi="Times New Roman" w:hint="eastAsia"/>
          <w:sz w:val="33"/>
          <w:szCs w:val="33"/>
          <w:lang w:val="zh-CN"/>
        </w:rPr>
        <w:t xml:space="preserve">4.项目结果。通过项目的实施，围绕大力实施市委总体发展战略和“服务业发展年”各项部署，开展“同心共建共同富裕试验区”专项行动，制定督查监督专班、社会动员专班、推进高效能市域社会治理工作专班市政协分工方案、工作清单，助力缩小“三大差距”、打造“八大市域样本”、推进“四化同步”、实施“六大行动”。更好的发挥政协政治协商、民主监督、参政议政职能。 </w:t>
      </w:r>
    </w:p>
    <w:p>
      <w:pPr>
        <w:autoSpaceDE w:val="0"/>
        <w:autoSpaceDN w:val="0"/>
        <w:adjustRightInd w:val="0"/>
        <w:spacing w:line="600" w:lineRule="exact"/>
        <w:ind w:firstLineChars="200" w:firstLine="660"/>
        <w:jc w:val="left"/>
        <w:rPr>
          <w:rFonts w:eastAsia="仿宋_GB2312"/>
          <w:sz w:val="32"/>
          <w:szCs w:val="32"/>
          <w:lang w:val="zh-CN"/>
        </w:rPr>
      </w:pPr>
      <w:r>
        <w:rPr>
          <w:rFonts w:ascii="方正楷体_GBK" w:eastAsia="方正楷体_GBK" w:hint="eastAsia"/>
          <w:b/>
          <w:sz w:val="33"/>
          <w:szCs w:val="33"/>
          <w:lang w:val="zh-CN"/>
        </w:rPr>
        <w:t>（二）专用指标绩效分析</w:t>
      </w:r>
    </w:p>
    <w:p>
      <w:pPr>
        <w:ind w:firstLineChars="200" w:firstLine="660"/>
        <w:rPr>
          <w:rFonts w:ascii="Times New Roman" w:eastAsia="方正仿宋_GBK" w:cs="Times New Roman" w:hAnsi="Times New Roman" w:hint="eastAsia"/>
          <w:sz w:val="33"/>
          <w:szCs w:val="33"/>
          <w:lang w:val="zh-CN"/>
        </w:rPr>
      </w:pPr>
      <w:r>
        <w:rPr>
          <w:rFonts w:ascii="Times New Roman" w:eastAsia="方正仿宋_GBK" w:cs="Times New Roman" w:hAnsi="Times New Roman" w:hint="eastAsia"/>
          <w:sz w:val="33"/>
          <w:szCs w:val="33"/>
          <w:lang w:val="zh-CN"/>
        </w:rPr>
        <w:t>1.产业发展。政协委员建言献策，推动攀枝花经济发展。</w:t>
      </w:r>
    </w:p>
    <w:p>
      <w:pPr>
        <w:ind w:firstLineChars="200" w:firstLine="660"/>
        <w:rPr>
          <w:rFonts w:ascii="Times New Roman" w:eastAsia="方正仿宋_GBK" w:cs="Times New Roman" w:hAnsi="Times New Roman" w:hint="eastAsia"/>
          <w:sz w:val="33"/>
          <w:szCs w:val="33"/>
          <w:lang w:val="zh-CN"/>
        </w:rPr>
      </w:pPr>
      <w:r>
        <w:rPr>
          <w:rFonts w:ascii="Times New Roman" w:eastAsia="方正仿宋_GBK" w:cs="Times New Roman" w:hAnsi="Times New Roman" w:hint="eastAsia"/>
          <w:sz w:val="33"/>
          <w:szCs w:val="33"/>
          <w:lang w:val="zh-CN"/>
        </w:rPr>
        <w:t>2.民生保障。政协委员参政议政、建言献策，更好地保障民生。</w:t>
      </w:r>
    </w:p>
    <w:p>
      <w:pPr>
        <w:autoSpaceDE w:val="0"/>
        <w:autoSpaceDN w:val="0"/>
        <w:adjustRightInd w:val="0"/>
        <w:spacing w:line="600" w:lineRule="exact"/>
        <w:ind w:firstLineChars="200" w:firstLine="660"/>
        <w:jc w:val="left"/>
        <w:rPr>
          <w:rFonts w:ascii="方正楷体_GBK" w:eastAsia="方正楷体_GBK" w:hint="eastAsia"/>
          <w:b/>
          <w:sz w:val="33"/>
          <w:szCs w:val="33"/>
          <w:lang w:val="zh-CN"/>
        </w:rPr>
      </w:pPr>
      <w:r>
        <w:rPr>
          <w:rFonts w:ascii="方正楷体_GBK" w:eastAsia="方正楷体_GBK" w:hint="eastAsia"/>
          <w:b/>
          <w:sz w:val="33"/>
          <w:szCs w:val="33"/>
          <w:lang w:val="zh-CN"/>
        </w:rPr>
        <w:t>（三）个性指标绩效分析</w:t>
      </w:r>
    </w:p>
    <w:p>
      <w:pPr>
        <w:ind w:firstLineChars="200" w:firstLine="660"/>
        <w:rPr>
          <w:rFonts w:ascii="Times New Roman" w:eastAsia="方正仿宋_GBK" w:cs="Times New Roman" w:hAnsi="Times New Roman" w:hint="eastAsia"/>
          <w:sz w:val="33"/>
          <w:szCs w:val="33"/>
          <w:lang w:val="zh-CN"/>
        </w:rPr>
      </w:pPr>
      <w:r>
        <w:rPr>
          <w:rFonts w:ascii="Times New Roman" w:eastAsia="方正仿宋_GBK" w:cs="Times New Roman" w:hAnsi="Times New Roman" w:hint="eastAsia"/>
          <w:sz w:val="33"/>
          <w:szCs w:val="33"/>
          <w:lang w:val="zh-CN"/>
        </w:rPr>
        <w:t>政治协商会议项目经费申报与实际执行情况相符。</w:t>
      </w:r>
    </w:p>
    <w:p>
      <w:pPr>
        <w:ind w:firstLineChars="200" w:firstLine="660"/>
        <w:rPr>
          <w:rFonts w:ascii="方正黑体_GBK" w:eastAsia="方正黑体_GBK"/>
          <w:sz w:val="33"/>
          <w:szCs w:val="33"/>
          <w:lang w:val="zh-CN"/>
        </w:rPr>
      </w:pPr>
      <w:r>
        <w:rPr>
          <w:rFonts w:ascii="方正黑体_GBK" w:eastAsia="方正黑体_GBK" w:hint="eastAsia"/>
          <w:sz w:val="33"/>
          <w:szCs w:val="33"/>
          <w:lang w:val="zh-CN"/>
        </w:rPr>
        <w:t>四、评价结论</w:t>
      </w:r>
    </w:p>
    <w:p>
      <w:pPr>
        <w:pStyle w:val="16"/>
        <w:spacing w:beforeLines="0" w:before="93"/>
        <w:rPr>
          <w:rFonts w:ascii="Times New Roman" w:eastAsia="方正仿宋_GBK" w:cs="Times New Roman" w:hAnsi="Times New Roman" w:hint="eastAsia"/>
          <w:kern w:val="2"/>
          <w:sz w:val="33"/>
          <w:szCs w:val="33"/>
          <w:lang w:val="zh-CN" w:eastAsia="zh-CN" w:bidi="ar-SA"/>
        </w:rPr>
      </w:pPr>
      <w:r>
        <w:rPr>
          <w:rFonts w:eastAsia="方正仿宋_GBK" w:hint="eastAsia"/>
          <w:sz w:val="33"/>
          <w:szCs w:val="33"/>
        </w:rPr>
        <w:t xml:space="preserve">    </w:t>
      </w:r>
      <w:r>
        <w:rPr>
          <w:rFonts w:ascii="Times New Roman" w:eastAsia="方正仿宋_GBK" w:cs="Times New Roman" w:hAnsi="Times New Roman" w:hint="eastAsia"/>
          <w:kern w:val="2"/>
          <w:sz w:val="33"/>
          <w:szCs w:val="33"/>
          <w:lang w:val="zh-CN" w:eastAsia="zh-CN" w:bidi="ar-SA"/>
        </w:rPr>
        <w:t>我部门重视政治协商会议项目经费预算编制，严格执行预算，在执行财政预算的过程中，严格按照资金运行管理要求安排，积极履行职责，切实做到了资金专项专用，无截留、无挪用，有效发挥了财政资金的使用效率。</w:t>
      </w:r>
    </w:p>
    <w:p>
      <w:pPr>
        <w:ind w:firstLineChars="200" w:firstLine="660"/>
        <w:rPr>
          <w:rFonts w:ascii="方正黑体_GBK" w:eastAsia="方正黑体_GBK"/>
          <w:sz w:val="33"/>
          <w:szCs w:val="33"/>
          <w:lang w:val="zh-CN"/>
        </w:rPr>
      </w:pPr>
      <w:r>
        <w:rPr>
          <w:rFonts w:ascii="方正黑体_GBK" w:eastAsia="方正黑体_GBK" w:hint="eastAsia"/>
          <w:sz w:val="33"/>
          <w:szCs w:val="33"/>
          <w:lang w:val="zh-CN"/>
        </w:rPr>
        <w:t>五、存在主要问题</w:t>
      </w:r>
    </w:p>
    <w:p>
      <w:pPr>
        <w:widowControl/>
        <w:adjustRightInd w:val="0"/>
        <w:snapToGrid w:val="0"/>
        <w:spacing w:line="580" w:lineRule="exact"/>
        <w:ind w:firstLineChars="200" w:firstLine="660"/>
        <w:contextualSpacing/>
        <w:jc w:val="left"/>
        <w:rPr>
          <w:rFonts w:ascii="仿宋_GB2312" w:eastAsia="方正仿宋_GBK" w:cs="仿宋_GB2312" w:hAnsi="仿宋_GB2312" w:hint="eastAsia"/>
          <w:kern w:val="0"/>
          <w:sz w:val="33"/>
          <w:szCs w:val="33"/>
        </w:rPr>
      </w:pPr>
      <w:r>
        <w:rPr>
          <w:rFonts w:ascii="仿宋_GB2312" w:eastAsia="方正仿宋_GBK" w:cs="仿宋_GB2312" w:hAnsi="仿宋_GB2312" w:hint="eastAsia"/>
          <w:kern w:val="0"/>
          <w:sz w:val="33"/>
          <w:szCs w:val="33"/>
        </w:rPr>
        <w:t>要保障项目规范有效地实施，还面临着许多困难和问题：本部门在预算项目执行中，还存在项目推进有滞后的情况。</w:t>
      </w:r>
    </w:p>
    <w:p>
      <w:pPr>
        <w:autoSpaceDE w:val="0"/>
        <w:autoSpaceDN w:val="0"/>
        <w:adjustRightInd w:val="0"/>
        <w:spacing w:line="600" w:lineRule="exact"/>
        <w:ind w:firstLineChars="200" w:firstLine="660"/>
        <w:jc w:val="left"/>
        <w:rPr>
          <w:rFonts w:ascii="方正黑体_GBK" w:eastAsia="方正黑体_GBK"/>
          <w:sz w:val="33"/>
          <w:szCs w:val="33"/>
          <w:lang w:val="zh-CN"/>
        </w:rPr>
      </w:pPr>
      <w:r>
        <w:rPr>
          <w:rFonts w:ascii="方正黑体_GBK" w:eastAsia="方正黑体_GBK" w:hint="eastAsia"/>
          <w:sz w:val="33"/>
          <w:szCs w:val="33"/>
          <w:lang w:val="zh-CN"/>
        </w:rPr>
        <w:t>六、改进建议</w:t>
      </w:r>
    </w:p>
    <w:p>
      <w:pPr>
        <w:pStyle w:val="19"/>
        <w:spacing w:line="600" w:lineRule="exact"/>
        <w:ind w:firstLineChars="200" w:firstLine="660"/>
        <w:jc w:val="left"/>
        <w:rPr>
          <w:rFonts w:ascii="Times New Roman" w:eastAsia="方正仿宋_GBK" w:cs="Times New Roman" w:hAnsi="Times New Roman" w:hint="eastAsia"/>
          <w:kern w:val="2"/>
          <w:sz w:val="33"/>
          <w:szCs w:val="33"/>
          <w:lang w:val="zh-CN" w:eastAsia="zh-CN" w:bidi="ar-SA"/>
        </w:rPr>
      </w:pPr>
      <w:r>
        <w:rPr>
          <w:rFonts w:ascii="Times New Roman" w:eastAsia="方正仿宋_GBK" w:cs="Times New Roman" w:hAnsi="Times New Roman" w:hint="eastAsia"/>
          <w:kern w:val="2"/>
          <w:sz w:val="33"/>
          <w:szCs w:val="33"/>
          <w:lang w:val="zh-CN" w:eastAsia="zh-CN" w:bidi="ar-SA"/>
        </w:rPr>
        <w:t>一是继续加强项目资金的使用管理，继续完善相关的管理制度；二是加强对绩效评价工作的管理细化。</w:t>
      </w:r>
    </w:p>
    <w:p>
      <w:pPr>
        <w:adjustRightInd w:val="0"/>
        <w:snapToGrid w:val="0"/>
        <w:spacing w:line="560" w:lineRule="exact"/>
        <w:ind w:firstLine="720"/>
      </w:pPr>
    </w:p>
    <w:p>
      <w:pPr>
        <w:ind w:firstLineChars="200" w:firstLine="640"/>
        <w:rPr>
          <w:rFonts w:eastAsia="仿宋_GB2312"/>
          <w:sz w:val="32"/>
          <w:szCs w:val="32"/>
        </w:rPr>
      </w:pPr>
    </w:p>
    <w:p>
      <w:pPr>
        <w:pStyle w:val="15"/>
      </w:pPr>
    </w:p>
    <w:p/>
    <w:p>
      <w:pPr>
        <w:pStyle w:val="15"/>
      </w:pPr>
    </w:p>
    <w:p/>
    <w:p>
      <w:pPr>
        <w:pStyle w:val="15"/>
      </w:pPr>
    </w:p>
    <w:p/>
    <w:p>
      <w:pPr>
        <w:pStyle w:val="15"/>
      </w:pPr>
    </w:p>
    <w:p/>
    <w:p>
      <w:pPr>
        <w:pStyle w:val="15"/>
      </w:pPr>
    </w:p>
    <w:p/>
    <w:p>
      <w:pPr>
        <w:pStyle w:val="15"/>
      </w:pPr>
    </w:p>
    <w:p/>
    <w:p>
      <w:pPr>
        <w:rPr>
          <w:rFonts w:ascii="Arial" w:eastAsia="黑体" w:hAnsi="Arial"/>
          <w:b/>
          <w:sz w:val="24"/>
          <w:szCs w:val="28"/>
        </w:rPr>
      </w:pPr>
    </w:p>
    <w:p>
      <w:pPr>
        <w:pStyle w:val="15"/>
      </w:pPr>
    </w:p>
    <w:p>
      <w:pPr>
        <w:jc w:val="center"/>
        <w:rPr>
          <w:rFonts w:ascii="方正小标宋_GBK" w:eastAsia="方正小标宋_GBK"/>
          <w:sz w:val="38"/>
          <w:szCs w:val="38"/>
        </w:rPr>
      </w:pPr>
      <w:r>
        <w:rPr>
          <w:rFonts w:ascii="方正小标宋_GBK" w:eastAsia="方正小标宋_GBK" w:hint="eastAsia"/>
          <w:sz w:val="38"/>
          <w:szCs w:val="38"/>
        </w:rPr>
        <w:t>专项预算项目绩效评价报告</w:t>
      </w:r>
    </w:p>
    <w:p>
      <w:pPr>
        <w:rPr>
          <w:rFonts w:eastAsia="仿宋_GB2312"/>
          <w:sz w:val="32"/>
          <w:szCs w:val="32"/>
          <w:lang w:val="zh-CN"/>
        </w:rPr>
      </w:pPr>
    </w:p>
    <w:p>
      <w:pPr>
        <w:ind w:firstLineChars="200" w:firstLine="660"/>
        <w:rPr>
          <w:rFonts w:ascii="方正黑体_GBK" w:eastAsia="方正黑体_GBK"/>
          <w:sz w:val="33"/>
          <w:szCs w:val="33"/>
          <w:lang w:val="zh-CN"/>
        </w:rPr>
      </w:pPr>
      <w:r>
        <w:rPr>
          <w:rFonts w:ascii="方正黑体_GBK" w:eastAsia="方正黑体_GBK" w:hint="eastAsia"/>
          <w:sz w:val="33"/>
          <w:szCs w:val="33"/>
          <w:lang w:val="zh-CN"/>
        </w:rPr>
        <w:t>一、项目概况</w:t>
      </w:r>
    </w:p>
    <w:p>
      <w:pPr>
        <w:ind w:firstLineChars="200" w:firstLine="660"/>
        <w:rPr>
          <w:rFonts w:ascii="方正楷体_GBK" w:eastAsia="方正楷体_GBK"/>
          <w:sz w:val="33"/>
          <w:szCs w:val="33"/>
          <w:lang w:val="zh-CN"/>
        </w:rPr>
      </w:pPr>
      <w:r>
        <w:rPr>
          <w:rFonts w:ascii="方正楷体_GBK" w:eastAsia="方正楷体_GBK" w:hint="eastAsia"/>
          <w:b/>
          <w:sz w:val="33"/>
          <w:szCs w:val="33"/>
          <w:lang w:val="zh-CN"/>
        </w:rPr>
        <w:t>（一）设立背景及基本情况</w:t>
      </w:r>
    </w:p>
    <w:p>
      <w:pPr>
        <w:autoSpaceDE w:val="0"/>
        <w:autoSpaceDN w:val="0"/>
        <w:adjustRightInd w:val="0"/>
        <w:spacing w:line="600" w:lineRule="exact"/>
        <w:ind w:firstLineChars="200" w:firstLine="660"/>
        <w:jc w:val="left"/>
        <w:rPr>
          <w:rFonts w:eastAsia="方正仿宋_GBK"/>
          <w:sz w:val="33"/>
          <w:szCs w:val="33"/>
        </w:rPr>
      </w:pPr>
      <w:r>
        <w:rPr>
          <w:rFonts w:eastAsia="方正仿宋_GBK" w:hint="eastAsia"/>
          <w:sz w:val="33"/>
          <w:szCs w:val="33"/>
        </w:rPr>
        <w:t>政协委员调研视察活动项目经费是指在围绕市委、市政府中心工作，开展学习、调研、考察等各项活动，更好地发挥好政协委员的主体作用，发挥各政协联系单位作用，促进履职能力提升。属于常规性项目。</w:t>
      </w:r>
    </w:p>
    <w:p>
      <w:pPr>
        <w:ind w:firstLineChars="200" w:firstLine="660"/>
        <w:rPr>
          <w:rFonts w:ascii="方正楷体_GBK" w:eastAsia="方正楷体_GBK"/>
          <w:b/>
          <w:sz w:val="33"/>
          <w:szCs w:val="33"/>
          <w:lang w:val="zh-CN"/>
        </w:rPr>
      </w:pPr>
      <w:r>
        <w:rPr>
          <w:rFonts w:ascii="方正楷体_GBK" w:eastAsia="方正楷体_GBK" w:hint="eastAsia"/>
          <w:b/>
          <w:sz w:val="33"/>
          <w:szCs w:val="33"/>
          <w:lang w:val="zh-CN"/>
        </w:rPr>
        <w:t>（二）实施目的及支持方向</w:t>
      </w:r>
    </w:p>
    <w:p>
      <w:pPr>
        <w:ind w:firstLineChars="200" w:firstLine="660"/>
        <w:rPr>
          <w:rFonts w:eastAsia="方正仿宋_GBK"/>
          <w:spacing w:val="-6"/>
          <w:sz w:val="33"/>
          <w:szCs w:val="33"/>
        </w:rPr>
      </w:pPr>
      <w:r>
        <w:rPr>
          <w:rFonts w:eastAsia="方正仿宋_GBK" w:hint="eastAsia"/>
          <w:sz w:val="33"/>
          <w:szCs w:val="33"/>
        </w:rPr>
        <w:t>政协委员调研视察活动项目</w:t>
      </w:r>
      <w:r>
        <w:rPr>
          <w:rFonts w:eastAsia="方正仿宋_GBK" w:hint="eastAsia"/>
          <w:spacing w:val="-6"/>
          <w:sz w:val="33"/>
          <w:szCs w:val="33"/>
        </w:rPr>
        <w:t>是为了更好地提升全市政协委员的履职能力，“凝心聚力”、“参政议政”，为攀枝花市的建设建言献策。</w:t>
      </w:r>
    </w:p>
    <w:p>
      <w:pPr>
        <w:ind w:firstLineChars="200" w:firstLine="640"/>
        <w:rPr>
          <w:rFonts w:ascii="方正楷体_GBK" w:eastAsia="方正楷体_GBK"/>
          <w:b/>
          <w:sz w:val="33"/>
          <w:szCs w:val="33"/>
          <w:lang w:val="zh-CN"/>
        </w:rPr>
      </w:pPr>
      <w:r>
        <w:rPr>
          <w:rFonts w:ascii="楷体_GB2312" w:eastAsia="楷体_GB2312" w:hint="eastAsia"/>
          <w:b/>
          <w:sz w:val="32"/>
          <w:szCs w:val="32"/>
          <w:lang w:val="zh-CN"/>
        </w:rPr>
        <w:t xml:space="preserve"> </w:t>
      </w:r>
      <w:r>
        <w:rPr>
          <w:rFonts w:ascii="方正楷体_GBK" w:eastAsia="方正楷体_GBK" w:hint="eastAsia"/>
          <w:b/>
          <w:sz w:val="33"/>
          <w:szCs w:val="33"/>
          <w:lang w:val="zh-CN"/>
        </w:rPr>
        <w:t>（三）预算安排及分配管理</w:t>
      </w:r>
    </w:p>
    <w:p>
      <w:pPr>
        <w:autoSpaceDE w:val="0"/>
        <w:autoSpaceDN w:val="0"/>
        <w:adjustRightInd w:val="0"/>
        <w:spacing w:line="600" w:lineRule="exact"/>
        <w:ind w:firstLineChars="200" w:firstLine="660"/>
        <w:jc w:val="left"/>
        <w:rPr>
          <w:rFonts w:ascii="仿宋_GB2312" w:hAnsi="仿宋_GB2312"/>
          <w:kern w:val="0"/>
          <w:szCs w:val="32"/>
        </w:rPr>
      </w:pPr>
      <w:r>
        <w:rPr>
          <w:rFonts w:eastAsia="方正仿宋_GBK" w:hint="eastAsia"/>
          <w:sz w:val="33"/>
          <w:szCs w:val="33"/>
        </w:rPr>
        <w:t>为保证项目的顺利实施，</w:t>
      </w:r>
      <w:r>
        <w:rPr>
          <w:rFonts w:eastAsia="方正仿宋_GBK"/>
          <w:sz w:val="33"/>
          <w:szCs w:val="33"/>
        </w:rPr>
        <w:t>中国人民政治协商会议四川省攀枝花市委员会</w:t>
      </w:r>
      <w:r>
        <w:rPr>
          <w:rFonts w:eastAsia="方正仿宋_GBK" w:hint="eastAsia"/>
          <w:sz w:val="33"/>
          <w:szCs w:val="33"/>
        </w:rPr>
        <w:t>办公室在使用资金过程中严格执行财务管理制度，每一笔经济业务都按照程序进行申报、审批，项目专款专用。对于重大的业务和事项，实行集体决策审批共同做出决定。</w:t>
      </w:r>
    </w:p>
    <w:p>
      <w:pPr>
        <w:ind w:firstLineChars="200" w:firstLine="660"/>
        <w:rPr>
          <w:rFonts w:ascii="方正楷体_GBK" w:eastAsia="方正楷体_GBK"/>
          <w:b/>
          <w:sz w:val="33"/>
          <w:szCs w:val="33"/>
          <w:lang w:val="zh-CN"/>
        </w:rPr>
      </w:pPr>
      <w:r>
        <w:rPr>
          <w:rFonts w:ascii="方正楷体_GBK" w:eastAsia="方正楷体_GBK" w:hint="eastAsia"/>
          <w:b/>
          <w:sz w:val="33"/>
          <w:szCs w:val="33"/>
          <w:lang w:val="zh-CN"/>
        </w:rPr>
        <w:t xml:space="preserve"> （四）项目绩效目标设置</w:t>
      </w:r>
    </w:p>
    <w:p>
      <w:pPr>
        <w:autoSpaceDE w:val="0"/>
        <w:autoSpaceDN w:val="0"/>
        <w:adjustRightInd w:val="0"/>
        <w:spacing w:line="600" w:lineRule="exact"/>
        <w:ind w:firstLineChars="200" w:firstLine="660"/>
        <w:jc w:val="left"/>
        <w:rPr>
          <w:rFonts w:eastAsia="方正仿宋_GBK"/>
          <w:sz w:val="33"/>
          <w:szCs w:val="33"/>
        </w:rPr>
      </w:pPr>
      <w:r>
        <w:rPr>
          <w:rFonts w:eastAsia="方正仿宋_GBK" w:hint="eastAsia"/>
          <w:sz w:val="33"/>
          <w:szCs w:val="33"/>
        </w:rPr>
        <w:t xml:space="preserve"> 2023年委员调研视察活动项目经费年初预算105.04万元，为财政全额拨款，指标已全部下达到位，到位率</w:t>
      </w:r>
      <w:r>
        <w:rPr>
          <w:rFonts w:eastAsia="方正仿宋_GBK"/>
          <w:sz w:val="33"/>
          <w:szCs w:val="33"/>
        </w:rPr>
        <w:t>100%</w:t>
      </w:r>
      <w:r>
        <w:rPr>
          <w:rFonts w:eastAsia="方正仿宋_GBK" w:hint="eastAsia"/>
          <w:sz w:val="33"/>
          <w:szCs w:val="33"/>
        </w:rPr>
        <w:t>。实际支付105.04万元，资金使用率为100</w:t>
      </w:r>
      <w:r>
        <w:rPr>
          <w:rFonts w:eastAsia="方正仿宋_GBK"/>
          <w:sz w:val="33"/>
          <w:szCs w:val="33"/>
        </w:rPr>
        <w:t>%</w:t>
      </w:r>
      <w:r>
        <w:rPr>
          <w:rFonts w:eastAsia="方正仿宋_GBK" w:hint="eastAsia"/>
          <w:sz w:val="33"/>
          <w:szCs w:val="33"/>
        </w:rPr>
        <w:t>。</w:t>
      </w:r>
    </w:p>
    <w:p>
      <w:pPr>
        <w:ind w:firstLineChars="200" w:firstLine="660"/>
        <w:rPr>
          <w:rFonts w:ascii="方正黑体_GBK" w:eastAsia="方正黑体_GBK"/>
          <w:sz w:val="33"/>
          <w:szCs w:val="33"/>
          <w:lang w:val="zh-CN"/>
        </w:rPr>
      </w:pPr>
      <w:r>
        <w:rPr>
          <w:rFonts w:ascii="方正黑体_GBK" w:eastAsia="方正黑体_GBK" w:hint="eastAsia"/>
          <w:sz w:val="33"/>
          <w:szCs w:val="33"/>
          <w:lang w:val="zh-CN"/>
        </w:rPr>
        <w:t>二、评价实施</w:t>
      </w:r>
    </w:p>
    <w:p>
      <w:pPr>
        <w:ind w:firstLineChars="200" w:firstLine="660"/>
        <w:rPr>
          <w:rFonts w:ascii="方正楷体_GBK" w:eastAsia="方正楷体_GBK"/>
          <w:b/>
          <w:sz w:val="33"/>
          <w:szCs w:val="33"/>
          <w:lang w:val="zh-CN"/>
        </w:rPr>
      </w:pPr>
      <w:r>
        <w:rPr>
          <w:rFonts w:ascii="方正楷体_GBK" w:eastAsia="方正楷体_GBK" w:hint="eastAsia"/>
          <w:b/>
          <w:sz w:val="33"/>
          <w:szCs w:val="33"/>
          <w:lang w:val="zh-CN"/>
        </w:rPr>
        <w:t>（一）评价目的</w:t>
      </w:r>
    </w:p>
    <w:p>
      <w:pPr>
        <w:ind w:firstLineChars="200" w:firstLine="660"/>
        <w:rPr>
          <w:rFonts w:eastAsia="方正仿宋_GBK"/>
          <w:sz w:val="33"/>
          <w:szCs w:val="33"/>
        </w:rPr>
      </w:pPr>
      <w:r>
        <w:rPr>
          <w:rFonts w:eastAsia="方正仿宋_GBK" w:hint="eastAsia"/>
          <w:sz w:val="33"/>
          <w:szCs w:val="33"/>
        </w:rPr>
        <w:t>围绕市委、市政府中心工作，开展学习、调研、考察等各项活动，更好地发挥好政协委员的主体作用，发挥各政协联系单位作用，促进履职能力提升。</w:t>
      </w:r>
    </w:p>
    <w:p>
      <w:pPr>
        <w:ind w:firstLineChars="200" w:firstLine="660"/>
        <w:rPr>
          <w:rFonts w:ascii="方正楷体_GBK" w:eastAsia="方正楷体_GBK"/>
          <w:b/>
          <w:sz w:val="33"/>
          <w:szCs w:val="33"/>
          <w:lang w:val="zh-CN"/>
        </w:rPr>
      </w:pPr>
      <w:r>
        <w:rPr>
          <w:rFonts w:ascii="方正楷体_GBK" w:eastAsia="方正楷体_GBK" w:hint="eastAsia"/>
          <w:b/>
          <w:sz w:val="33"/>
          <w:szCs w:val="33"/>
          <w:lang w:val="zh-CN"/>
        </w:rPr>
        <w:t>（二）预设问题及评价重点</w:t>
      </w:r>
    </w:p>
    <w:p>
      <w:pPr>
        <w:ind w:firstLineChars="200" w:firstLine="660"/>
        <w:rPr>
          <w:rFonts w:eastAsia="方正仿宋_GBK"/>
          <w:sz w:val="33"/>
          <w:szCs w:val="33"/>
        </w:rPr>
      </w:pPr>
      <w:r>
        <w:rPr>
          <w:rFonts w:eastAsia="方正仿宋_GBK" w:hint="eastAsia"/>
          <w:sz w:val="33"/>
          <w:szCs w:val="33"/>
        </w:rPr>
        <w:t>政协委员调研视察活动项目经费申报与实际执行情况相符。</w:t>
      </w:r>
    </w:p>
    <w:p>
      <w:pPr>
        <w:ind w:firstLineChars="200" w:firstLine="660"/>
        <w:rPr>
          <w:rFonts w:ascii="方正楷体_GBK" w:eastAsia="方正楷体_GBK"/>
          <w:b/>
          <w:sz w:val="33"/>
          <w:szCs w:val="33"/>
          <w:lang w:val="zh-CN"/>
        </w:rPr>
      </w:pPr>
      <w:r>
        <w:rPr>
          <w:rFonts w:ascii="方正楷体_GBK" w:eastAsia="方正楷体_GBK" w:hint="eastAsia"/>
          <w:b/>
          <w:sz w:val="33"/>
          <w:szCs w:val="33"/>
          <w:lang w:val="zh-CN"/>
        </w:rPr>
        <w:t>（三）评价选点</w:t>
      </w:r>
    </w:p>
    <w:p>
      <w:pPr>
        <w:ind w:firstLineChars="200" w:firstLine="660"/>
        <w:rPr>
          <w:rFonts w:eastAsia="方正仿宋_GBK" w:hint="eastAsia"/>
          <w:sz w:val="33"/>
          <w:szCs w:val="33"/>
          <w:lang w:val="zh-CN"/>
        </w:rPr>
      </w:pPr>
      <w:r>
        <w:rPr>
          <w:rFonts w:eastAsia="方正仿宋_GBK" w:hint="eastAsia"/>
          <w:sz w:val="33"/>
          <w:szCs w:val="33"/>
          <w:lang w:val="zh-CN"/>
        </w:rPr>
        <w:t>项目绩效自评情况真实。</w:t>
      </w:r>
    </w:p>
    <w:p>
      <w:pPr>
        <w:ind w:firstLineChars="200" w:firstLine="660"/>
        <w:rPr>
          <w:rFonts w:ascii="方正楷体_GBK" w:eastAsia="方正楷体_GBK"/>
          <w:b/>
          <w:sz w:val="33"/>
          <w:szCs w:val="33"/>
          <w:lang w:val="zh-CN"/>
        </w:rPr>
      </w:pPr>
      <w:r>
        <w:rPr>
          <w:rFonts w:ascii="方正楷体_GBK" w:eastAsia="方正楷体_GBK" w:hint="eastAsia"/>
          <w:b/>
          <w:sz w:val="33"/>
          <w:szCs w:val="33"/>
          <w:lang w:val="zh-CN"/>
        </w:rPr>
        <w:t>（四）评价方法</w:t>
      </w:r>
    </w:p>
    <w:p>
      <w:pPr>
        <w:ind w:firstLineChars="200" w:firstLine="660"/>
        <w:rPr>
          <w:rFonts w:eastAsia="方正仿宋_GBK" w:hint="eastAsia"/>
          <w:sz w:val="33"/>
          <w:szCs w:val="33"/>
          <w:lang w:val="zh-CN"/>
        </w:rPr>
      </w:pPr>
      <w:r>
        <w:rPr>
          <w:rFonts w:eastAsia="方正仿宋_GBK" w:hint="eastAsia"/>
          <w:sz w:val="33"/>
          <w:szCs w:val="33"/>
          <w:lang w:val="zh-CN"/>
        </w:rPr>
        <w:t>根据项目情况和评价重点，单位自评法、座谈调研法等多种方法。</w:t>
      </w:r>
    </w:p>
    <w:p>
      <w:pPr>
        <w:ind w:firstLineChars="200" w:firstLine="660"/>
        <w:rPr>
          <w:rFonts w:ascii="方正楷体_GBK" w:eastAsia="方正楷体_GBK"/>
          <w:b/>
          <w:sz w:val="33"/>
          <w:szCs w:val="33"/>
          <w:lang w:val="zh-CN"/>
        </w:rPr>
      </w:pPr>
      <w:r>
        <w:rPr>
          <w:rFonts w:ascii="方正楷体_GBK" w:eastAsia="方正楷体_GBK" w:hint="eastAsia"/>
          <w:b/>
          <w:sz w:val="33"/>
          <w:szCs w:val="33"/>
          <w:lang w:val="zh-CN"/>
        </w:rPr>
        <w:t>（五）评价组织。</w:t>
      </w:r>
    </w:p>
    <w:p>
      <w:pPr>
        <w:ind w:firstLineChars="200" w:firstLine="660"/>
        <w:rPr>
          <w:rFonts w:eastAsia="方正仿宋_GBK" w:hint="eastAsia"/>
          <w:sz w:val="33"/>
          <w:szCs w:val="33"/>
          <w:lang w:val="zh-CN"/>
        </w:rPr>
      </w:pPr>
      <w:r>
        <w:rPr>
          <w:rFonts w:eastAsia="方正仿宋_GBK" w:hint="eastAsia"/>
          <w:sz w:val="33"/>
          <w:szCs w:val="33"/>
          <w:lang w:val="zh-CN"/>
        </w:rPr>
        <w:t>项目负责人、分管领导及驻机关纪检组。以项目完成数量级质量情况为准。</w:t>
      </w:r>
    </w:p>
    <w:p>
      <w:pPr>
        <w:ind w:firstLineChars="200" w:firstLine="660"/>
        <w:rPr>
          <w:rFonts w:ascii="方正黑体_GBK" w:eastAsia="方正黑体_GBK"/>
          <w:sz w:val="33"/>
          <w:szCs w:val="33"/>
          <w:lang w:val="zh-CN"/>
        </w:rPr>
      </w:pPr>
      <w:r>
        <w:rPr>
          <w:rFonts w:ascii="方正黑体_GBK" w:eastAsia="方正黑体_GBK" w:hint="eastAsia"/>
          <w:sz w:val="33"/>
          <w:szCs w:val="33"/>
          <w:lang w:val="zh-CN"/>
        </w:rPr>
        <w:t>三、绩效分析</w:t>
      </w:r>
    </w:p>
    <w:p>
      <w:pPr>
        <w:ind w:firstLineChars="200" w:firstLine="660"/>
        <w:rPr>
          <w:rFonts w:ascii="方正楷体_GBK" w:eastAsia="方正楷体_GBK"/>
          <w:b/>
          <w:sz w:val="33"/>
          <w:szCs w:val="33"/>
          <w:lang w:val="zh-CN"/>
        </w:rPr>
      </w:pPr>
      <w:r>
        <w:rPr>
          <w:rFonts w:ascii="方正楷体_GBK" w:eastAsia="方正楷体_GBK" w:hint="eastAsia"/>
          <w:b/>
          <w:sz w:val="33"/>
          <w:szCs w:val="33"/>
          <w:lang w:val="zh-CN"/>
        </w:rPr>
        <w:t>（一）通用指标绩效分析</w:t>
      </w:r>
    </w:p>
    <w:p>
      <w:pPr>
        <w:ind w:firstLineChars="200" w:firstLine="660"/>
        <w:rPr>
          <w:rFonts w:eastAsia="方正仿宋_GBK" w:hint="eastAsia"/>
          <w:sz w:val="33"/>
          <w:szCs w:val="33"/>
          <w:lang w:val="zh-CN"/>
        </w:rPr>
      </w:pPr>
      <w:r>
        <w:rPr>
          <w:rFonts w:eastAsia="方正仿宋_GBK" w:hint="eastAsia"/>
          <w:sz w:val="33"/>
          <w:szCs w:val="33"/>
          <w:lang w:val="zh-CN"/>
        </w:rPr>
        <w:t>1.项目决策。根据市委、市政府工作任务进行项目申报。</w:t>
      </w:r>
    </w:p>
    <w:p>
      <w:pPr>
        <w:autoSpaceDE w:val="0"/>
        <w:autoSpaceDN w:val="0"/>
        <w:adjustRightInd w:val="0"/>
        <w:spacing w:line="600" w:lineRule="exact"/>
        <w:ind w:firstLineChars="200" w:firstLine="660"/>
        <w:jc w:val="left"/>
        <w:rPr>
          <w:rFonts w:eastAsia="方正仿宋_GBK" w:hint="eastAsia"/>
          <w:sz w:val="33"/>
          <w:szCs w:val="33"/>
          <w:lang w:val="zh-CN"/>
        </w:rPr>
      </w:pPr>
      <w:r>
        <w:rPr>
          <w:rFonts w:eastAsia="方正仿宋_GBK" w:hint="eastAsia"/>
          <w:sz w:val="33"/>
          <w:szCs w:val="33"/>
          <w:lang w:val="zh-CN"/>
        </w:rPr>
        <w:t>2.项目管理。严格按照先申报、审批，后拨付等项目管理制度使用，完全符合《预算法》及财务管理相关制度，会计资料完整、真实，确保了专款专用、安全规范。</w:t>
      </w:r>
    </w:p>
    <w:p>
      <w:pPr>
        <w:widowControl/>
        <w:adjustRightInd w:val="0"/>
        <w:snapToGrid w:val="0"/>
        <w:spacing w:line="560" w:lineRule="exact"/>
        <w:ind w:firstLineChars="200" w:firstLine="660"/>
        <w:contextualSpacing/>
        <w:jc w:val="left"/>
        <w:rPr>
          <w:rFonts w:eastAsia="方正仿宋_GBK"/>
          <w:sz w:val="33"/>
          <w:szCs w:val="33"/>
        </w:rPr>
      </w:pPr>
      <w:r>
        <w:rPr>
          <w:rFonts w:eastAsia="方正仿宋_GBK" w:hint="eastAsia"/>
          <w:sz w:val="33"/>
          <w:szCs w:val="33"/>
          <w:lang w:val="zh-CN"/>
        </w:rPr>
        <w:t>3.项目实施。截止</w:t>
      </w:r>
      <w:r>
        <w:rPr>
          <w:rFonts w:eastAsia="方正仿宋_GBK"/>
          <w:sz w:val="33"/>
          <w:szCs w:val="33"/>
        </w:rPr>
        <w:t>202</w:t>
      </w:r>
      <w:r>
        <w:rPr>
          <w:rFonts w:eastAsia="方正仿宋_GBK" w:hint="eastAsia"/>
          <w:sz w:val="33"/>
          <w:szCs w:val="33"/>
        </w:rPr>
        <w:t>3年</w:t>
      </w:r>
      <w:r>
        <w:rPr>
          <w:rFonts w:eastAsia="方正仿宋_GBK"/>
          <w:sz w:val="33"/>
          <w:szCs w:val="33"/>
        </w:rPr>
        <w:t>12</w:t>
      </w:r>
      <w:r>
        <w:rPr>
          <w:rFonts w:eastAsia="方正仿宋_GBK" w:hint="eastAsia"/>
          <w:sz w:val="33"/>
          <w:szCs w:val="33"/>
        </w:rPr>
        <w:t>月</w:t>
      </w:r>
      <w:r>
        <w:rPr>
          <w:rFonts w:eastAsia="方正仿宋_GBK"/>
          <w:sz w:val="33"/>
          <w:szCs w:val="33"/>
        </w:rPr>
        <w:t>31</w:t>
      </w:r>
      <w:r>
        <w:rPr>
          <w:rFonts w:eastAsia="方正仿宋_GBK" w:hint="eastAsia"/>
          <w:sz w:val="33"/>
          <w:szCs w:val="33"/>
        </w:rPr>
        <w:t>日，政协委员调研视察活动项目经费年初预算105.04万元，财政下达资金105.04万元，资金到位率</w:t>
      </w:r>
      <w:r>
        <w:rPr>
          <w:rFonts w:eastAsia="方正仿宋_GBK"/>
          <w:sz w:val="33"/>
          <w:szCs w:val="33"/>
        </w:rPr>
        <w:t>100%</w:t>
      </w:r>
      <w:r>
        <w:rPr>
          <w:rFonts w:eastAsia="方正仿宋_GBK" w:hint="eastAsia"/>
          <w:sz w:val="33"/>
          <w:szCs w:val="33"/>
        </w:rPr>
        <w:t>；支出105.04万元，资金执行率100</w:t>
      </w:r>
      <w:r>
        <w:rPr>
          <w:rFonts w:eastAsia="方正仿宋_GBK"/>
          <w:sz w:val="33"/>
          <w:szCs w:val="33"/>
        </w:rPr>
        <w:t>%</w:t>
      </w:r>
      <w:r>
        <w:rPr>
          <w:rFonts w:eastAsia="方正仿宋_GBK" w:hint="eastAsia"/>
          <w:sz w:val="33"/>
          <w:szCs w:val="33"/>
        </w:rPr>
        <w:t xml:space="preserve">。  </w:t>
      </w:r>
    </w:p>
    <w:p>
      <w:pPr>
        <w:autoSpaceDE w:val="0"/>
        <w:autoSpaceDN w:val="0"/>
        <w:adjustRightInd w:val="0"/>
        <w:spacing w:line="600" w:lineRule="exact"/>
        <w:ind w:firstLineChars="200" w:firstLine="660"/>
        <w:jc w:val="left"/>
        <w:rPr>
          <w:rFonts w:eastAsia="方正仿宋_GBK"/>
          <w:bCs/>
          <w:sz w:val="33"/>
          <w:szCs w:val="33"/>
        </w:rPr>
      </w:pPr>
      <w:r>
        <w:rPr>
          <w:rFonts w:eastAsia="方正仿宋_GBK" w:hint="eastAsia"/>
          <w:sz w:val="33"/>
          <w:szCs w:val="33"/>
          <w:lang w:val="zh-CN"/>
        </w:rPr>
        <w:t>4.项目结果。通过项目的实施，</w:t>
      </w:r>
      <w:r>
        <w:rPr>
          <w:rFonts w:eastAsia="方正仿宋_GBK"/>
          <w:sz w:val="33"/>
          <w:szCs w:val="33"/>
        </w:rPr>
        <w:t>全市政协各级组织和政协委员</w:t>
      </w:r>
      <w:r>
        <w:rPr>
          <w:rFonts w:eastAsia="方正仿宋_GBK"/>
          <w:bCs/>
          <w:sz w:val="33"/>
          <w:szCs w:val="33"/>
        </w:rPr>
        <w:t>围绕</w:t>
      </w:r>
      <w:r>
        <w:rPr>
          <w:rFonts w:eastAsia="方正仿宋_GBK"/>
          <w:sz w:val="33"/>
          <w:szCs w:val="33"/>
        </w:rPr>
        <w:t>共同富裕试验区建设</w:t>
      </w:r>
      <w:r>
        <w:rPr>
          <w:rFonts w:eastAsia="方正仿宋_GBK"/>
          <w:bCs/>
          <w:sz w:val="33"/>
          <w:szCs w:val="33"/>
        </w:rPr>
        <w:t>提出意见建议2000余条。</w:t>
      </w:r>
      <w:r>
        <w:rPr>
          <w:rFonts w:eastAsia="方正仿宋_GBK"/>
          <w:sz w:val="33"/>
          <w:szCs w:val="33"/>
        </w:rPr>
        <w:t>开展协商活动117次，调研视察140次，履职成果得到市委、市政府主要领导的肯定性批示33件（次）</w:t>
      </w:r>
      <w:r>
        <w:rPr>
          <w:rFonts w:eastAsia="方正仿宋_GBK"/>
          <w:bCs/>
          <w:sz w:val="33"/>
          <w:szCs w:val="33"/>
        </w:rPr>
        <w:t>。 “凝聚共识·委员主题活动日”成为市政协具有较高辨识度的特色履职品牌。</w:t>
      </w:r>
    </w:p>
    <w:p>
      <w:pPr>
        <w:ind w:firstLineChars="200" w:firstLine="660"/>
        <w:rPr>
          <w:rFonts w:ascii="方正楷体_GBK" w:eastAsia="方正楷体_GBK"/>
          <w:b/>
          <w:sz w:val="33"/>
          <w:szCs w:val="33"/>
          <w:lang w:val="zh-CN"/>
        </w:rPr>
      </w:pPr>
      <w:r>
        <w:rPr>
          <w:rFonts w:ascii="方正楷体_GBK" w:eastAsia="方正楷体_GBK" w:hint="eastAsia"/>
          <w:b/>
          <w:sz w:val="33"/>
          <w:szCs w:val="33"/>
          <w:lang w:val="zh-CN"/>
        </w:rPr>
        <w:t>（二）专用指标绩效分析</w:t>
      </w:r>
    </w:p>
    <w:p>
      <w:pPr>
        <w:ind w:firstLineChars="200" w:firstLine="660"/>
        <w:rPr>
          <w:rFonts w:eastAsia="方正仿宋_GBK" w:hint="eastAsia"/>
          <w:sz w:val="33"/>
          <w:szCs w:val="33"/>
          <w:lang w:val="zh-CN"/>
        </w:rPr>
      </w:pPr>
      <w:r>
        <w:rPr>
          <w:rFonts w:eastAsia="方正仿宋_GBK" w:hint="eastAsia"/>
          <w:sz w:val="33"/>
          <w:szCs w:val="33"/>
          <w:lang w:val="zh-CN"/>
        </w:rPr>
        <w:t>1.产业发展。政协委员建言献策，推动攀枝花经济发展。</w:t>
      </w:r>
    </w:p>
    <w:p>
      <w:pPr>
        <w:ind w:firstLineChars="200" w:firstLine="660"/>
        <w:rPr>
          <w:rFonts w:eastAsia="方正仿宋_GBK" w:hint="eastAsia"/>
          <w:sz w:val="33"/>
          <w:szCs w:val="33"/>
          <w:lang w:val="zh-CN"/>
        </w:rPr>
      </w:pPr>
      <w:r>
        <w:rPr>
          <w:rFonts w:eastAsia="方正仿宋_GBK" w:hint="eastAsia"/>
          <w:sz w:val="33"/>
          <w:szCs w:val="33"/>
          <w:lang w:val="zh-CN"/>
        </w:rPr>
        <w:t>2.民生保障。政协委员参政议政、建言献策，更好地保障民生。</w:t>
      </w:r>
    </w:p>
    <w:p>
      <w:pPr>
        <w:autoSpaceDE w:val="0"/>
        <w:autoSpaceDN w:val="0"/>
        <w:adjustRightInd w:val="0"/>
        <w:spacing w:line="600" w:lineRule="exact"/>
        <w:ind w:firstLineChars="200" w:firstLine="660"/>
        <w:jc w:val="left"/>
        <w:rPr>
          <w:rFonts w:ascii="方正楷体_GBK" w:eastAsia="方正楷体_GBK"/>
          <w:b/>
          <w:sz w:val="33"/>
          <w:szCs w:val="33"/>
          <w:lang w:val="zh-CN"/>
        </w:rPr>
      </w:pPr>
      <w:r>
        <w:rPr>
          <w:rFonts w:ascii="方正楷体_GBK" w:eastAsia="方正楷体_GBK" w:hint="eastAsia"/>
          <w:b/>
          <w:sz w:val="33"/>
          <w:szCs w:val="33"/>
          <w:lang w:val="zh-CN"/>
        </w:rPr>
        <w:t>（三）个性指标绩效分析</w:t>
      </w:r>
    </w:p>
    <w:p>
      <w:pPr>
        <w:autoSpaceDE w:val="0"/>
        <w:autoSpaceDN w:val="0"/>
        <w:adjustRightInd w:val="0"/>
        <w:spacing w:line="600" w:lineRule="exact"/>
        <w:ind w:firstLineChars="200" w:firstLine="660"/>
        <w:jc w:val="left"/>
        <w:rPr>
          <w:rFonts w:eastAsia="方正仿宋_GBK" w:hint="eastAsia"/>
          <w:bCs/>
          <w:sz w:val="33"/>
          <w:szCs w:val="33"/>
          <w:lang w:val="zh-CN"/>
        </w:rPr>
      </w:pPr>
      <w:r>
        <w:rPr>
          <w:rFonts w:eastAsia="方正仿宋_GBK" w:hint="eastAsia"/>
          <w:bCs/>
          <w:sz w:val="33"/>
          <w:szCs w:val="33"/>
          <w:lang w:val="zh-CN"/>
        </w:rPr>
        <w:t>政治协商会议项目经费申报与实际执行情况相符。</w:t>
      </w:r>
    </w:p>
    <w:p>
      <w:pPr>
        <w:ind w:firstLineChars="200" w:firstLine="660"/>
        <w:rPr>
          <w:rFonts w:ascii="方正黑体_GBK" w:eastAsia="方正黑体_GBK"/>
          <w:sz w:val="33"/>
          <w:szCs w:val="33"/>
          <w:lang w:val="zh-CN"/>
        </w:rPr>
      </w:pPr>
      <w:r>
        <w:rPr>
          <w:rFonts w:ascii="方正黑体_GBK" w:eastAsia="方正黑体_GBK" w:hint="eastAsia"/>
          <w:sz w:val="33"/>
          <w:szCs w:val="33"/>
          <w:lang w:val="zh-CN"/>
        </w:rPr>
        <w:t>四、评价结论</w:t>
      </w:r>
    </w:p>
    <w:p>
      <w:pPr>
        <w:pStyle w:val="16"/>
        <w:spacing w:beforeLines="0" w:before="93"/>
        <w:rPr>
          <w:lang w:val="zh-CN"/>
        </w:rPr>
      </w:pPr>
      <w:r>
        <w:rPr>
          <w:rFonts w:eastAsia="方正仿宋_GBK" w:hint="eastAsia"/>
          <w:sz w:val="33"/>
          <w:szCs w:val="33"/>
        </w:rPr>
        <w:t xml:space="preserve">    </w:t>
      </w:r>
      <w:r>
        <w:rPr>
          <w:rFonts w:eastAsia="方正仿宋_GBK"/>
          <w:sz w:val="33"/>
          <w:szCs w:val="33"/>
        </w:rPr>
        <w:t>我</w:t>
      </w:r>
      <w:r>
        <w:rPr>
          <w:rFonts w:eastAsia="方正仿宋_GBK" w:hint="eastAsia"/>
          <w:sz w:val="33"/>
          <w:szCs w:val="33"/>
        </w:rPr>
        <w:t>部门</w:t>
      </w:r>
      <w:r>
        <w:rPr>
          <w:rFonts w:eastAsia="方正仿宋_GBK"/>
          <w:sz w:val="33"/>
          <w:szCs w:val="33"/>
        </w:rPr>
        <w:t>重视</w:t>
      </w:r>
      <w:r>
        <w:rPr>
          <w:rFonts w:eastAsia="方正仿宋_GBK" w:hint="eastAsia"/>
          <w:sz w:val="33"/>
          <w:szCs w:val="33"/>
        </w:rPr>
        <w:t>政治协商会议项目经费</w:t>
      </w:r>
      <w:r>
        <w:rPr>
          <w:rFonts w:eastAsia="方正仿宋_GBK"/>
          <w:sz w:val="33"/>
          <w:szCs w:val="33"/>
        </w:rPr>
        <w:t>预算编制，严格执行预算，在执行财政预算的过程中，严格按照资金运行管理要求安排，积极履行职责，切实做到了资金专项专用，无截留、无挪用，有效发挥了财政资金的使用效率</w:t>
      </w:r>
      <w:r>
        <w:rPr>
          <w:rFonts w:eastAsia="方正仿宋_GBK" w:hint="eastAsia"/>
          <w:sz w:val="33"/>
          <w:szCs w:val="33"/>
        </w:rPr>
        <w:t>。</w:t>
      </w:r>
    </w:p>
    <w:p>
      <w:pPr>
        <w:ind w:firstLineChars="200" w:firstLine="660"/>
        <w:rPr>
          <w:rFonts w:ascii="方正黑体_GBK" w:eastAsia="方正黑体_GBK"/>
          <w:sz w:val="33"/>
          <w:szCs w:val="33"/>
          <w:lang w:val="zh-CN"/>
        </w:rPr>
      </w:pPr>
      <w:r>
        <w:rPr>
          <w:rFonts w:ascii="方正黑体_GBK" w:eastAsia="方正黑体_GBK" w:hint="eastAsia"/>
          <w:sz w:val="33"/>
          <w:szCs w:val="33"/>
          <w:lang w:val="zh-CN"/>
        </w:rPr>
        <w:t>五、存在主要问题</w:t>
      </w:r>
    </w:p>
    <w:p>
      <w:pPr>
        <w:widowControl/>
        <w:adjustRightInd w:val="0"/>
        <w:snapToGrid w:val="0"/>
        <w:spacing w:line="580" w:lineRule="exact"/>
        <w:ind w:firstLineChars="200" w:firstLine="660"/>
        <w:contextualSpacing/>
        <w:jc w:val="left"/>
        <w:rPr>
          <w:rFonts w:eastAsia="方正仿宋_GBK"/>
          <w:sz w:val="33"/>
          <w:szCs w:val="33"/>
        </w:rPr>
      </w:pPr>
      <w:r>
        <w:rPr>
          <w:rFonts w:ascii="仿宋_GB2312" w:eastAsia="方正仿宋_GBK" w:hAnsi="仿宋_GB2312" w:hint="eastAsia"/>
          <w:kern w:val="0"/>
          <w:sz w:val="33"/>
          <w:szCs w:val="33"/>
        </w:rPr>
        <w:t>要保障项目规范有效地实施，还面临着许多困难和问题：</w:t>
      </w:r>
      <w:r>
        <w:rPr>
          <w:rFonts w:eastAsia="方正仿宋_GBK" w:hint="eastAsia"/>
          <w:sz w:val="33"/>
          <w:szCs w:val="33"/>
        </w:rPr>
        <w:t>本部门在预算项目执行中，还存在项目推进有滞后的情况。</w:t>
      </w:r>
    </w:p>
    <w:p>
      <w:pPr>
        <w:autoSpaceDE w:val="0"/>
        <w:autoSpaceDN w:val="0"/>
        <w:adjustRightInd w:val="0"/>
        <w:spacing w:line="600" w:lineRule="exact"/>
        <w:ind w:firstLineChars="200" w:firstLine="660"/>
        <w:jc w:val="left"/>
        <w:rPr>
          <w:rFonts w:ascii="方正黑体_GBK" w:eastAsia="方正黑体_GBK"/>
          <w:sz w:val="33"/>
          <w:szCs w:val="33"/>
          <w:lang w:val="zh-CN"/>
        </w:rPr>
      </w:pPr>
      <w:r>
        <w:rPr>
          <w:rFonts w:ascii="方正黑体_GBK" w:eastAsia="方正黑体_GBK" w:hint="eastAsia"/>
          <w:sz w:val="33"/>
          <w:szCs w:val="33"/>
          <w:lang w:val="zh-CN"/>
        </w:rPr>
        <w:t>六、改进建议</w:t>
      </w:r>
    </w:p>
    <w:p>
      <w:pPr>
        <w:pStyle w:val="19"/>
        <w:spacing w:line="600" w:lineRule="exact"/>
        <w:ind w:firstLineChars="200" w:firstLine="660"/>
        <w:jc w:val="left"/>
        <w:rPr>
          <w:rFonts w:ascii="仿宋_GB2312" w:eastAsia="方正仿宋_GBK" w:cs="Times New Roman" w:hAnsi="仿宋_GB2312" w:hint="eastAsia"/>
          <w:kern w:val="0"/>
          <w:sz w:val="33"/>
          <w:szCs w:val="33"/>
          <w:lang w:val="en-US" w:eastAsia="zh-CN" w:bidi="ar-SA"/>
        </w:rPr>
      </w:pPr>
      <w:r>
        <w:rPr>
          <w:rFonts w:ascii="仿宋_GB2312" w:eastAsia="方正仿宋_GBK" w:cs="Times New Roman" w:hAnsi="仿宋_GB2312" w:hint="eastAsia"/>
          <w:kern w:val="0"/>
          <w:sz w:val="33"/>
          <w:szCs w:val="33"/>
          <w:lang w:val="en-US" w:eastAsia="zh-CN" w:bidi="ar-SA"/>
        </w:rPr>
        <w:t>一是继续加强项目资金的使用管理，继续完善相关的管理制度；二是加强对绩效评价工作的管理细化。</w:t>
      </w:r>
    </w:p>
    <w:p>
      <w:pPr>
        <w:adjustRightInd w:val="0"/>
        <w:snapToGrid w:val="0"/>
        <w:spacing w:line="560" w:lineRule="exact"/>
        <w:ind w:firstLine="720"/>
      </w:pPr>
    </w:p>
    <w:p>
      <w:pPr>
        <w:pStyle w:val="19"/>
        <w:spacing w:line="600" w:lineRule="exact"/>
        <w:ind w:firstLineChars="200" w:firstLine="660"/>
        <w:jc w:val="left"/>
        <w:rPr>
          <w:rFonts w:ascii="Times New Roman" w:eastAsia="方正仿宋_GBK" w:hAnsi="Times New Roman"/>
          <w:sz w:val="33"/>
          <w:szCs w:val="33"/>
        </w:rPr>
      </w:pPr>
    </w:p>
    <w:p>
      <w:pPr>
        <w:ind w:firstLineChars="200" w:firstLine="640"/>
        <w:rPr>
          <w:rFonts w:eastAsia="仿宋_GB2312"/>
          <w:sz w:val="32"/>
          <w:szCs w:val="32"/>
        </w:rPr>
      </w:pPr>
    </w:p>
    <w:p>
      <w:pPr>
        <w:pStyle w:val="15"/>
      </w:pPr>
    </w:p>
    <w:p/>
    <w:p>
      <w:pPr>
        <w:pStyle w:val="15"/>
      </w:pPr>
    </w:p>
    <w:p/>
    <w:p>
      <w:pPr>
        <w:pStyle w:val="15"/>
      </w:pPr>
    </w:p>
    <w:p/>
    <w:p>
      <w:pPr>
        <w:pStyle w:val="15"/>
      </w:pPr>
    </w:p>
    <w:p/>
    <w:p>
      <w:pPr>
        <w:pStyle w:val="15"/>
      </w:pPr>
    </w:p>
    <w:p/>
    <w:p/>
    <w:p>
      <w:pPr>
        <w:jc w:val="center"/>
        <w:rPr>
          <w:rFonts w:ascii="方正小标宋_GBK" w:eastAsia="方正小标宋_GBK"/>
          <w:sz w:val="38"/>
          <w:szCs w:val="38"/>
        </w:rPr>
      </w:pPr>
    </w:p>
    <w:p>
      <w:pPr>
        <w:jc w:val="center"/>
        <w:rPr>
          <w:rFonts w:ascii="方正小标宋_GBK" w:eastAsia="方正小标宋_GBK"/>
          <w:sz w:val="38"/>
          <w:szCs w:val="38"/>
        </w:rPr>
      </w:pPr>
      <w:r>
        <w:rPr>
          <w:rFonts w:ascii="方正小标宋_GBK" w:eastAsia="方正小标宋_GBK" w:hint="eastAsia"/>
          <w:sz w:val="38"/>
          <w:szCs w:val="38"/>
        </w:rPr>
        <w:t>专项预算项目绩效评价报告</w:t>
      </w:r>
    </w:p>
    <w:p>
      <w:pPr>
        <w:rPr>
          <w:rFonts w:eastAsia="仿宋_GB2312"/>
          <w:sz w:val="32"/>
          <w:szCs w:val="32"/>
          <w:lang w:val="zh-CN"/>
        </w:rPr>
      </w:pPr>
    </w:p>
    <w:p>
      <w:pPr>
        <w:ind w:firstLineChars="200" w:firstLine="660"/>
        <w:rPr>
          <w:rFonts w:ascii="方正黑体_GBK" w:eastAsia="方正黑体_GBK"/>
          <w:sz w:val="33"/>
          <w:szCs w:val="33"/>
          <w:lang w:val="zh-CN"/>
        </w:rPr>
      </w:pPr>
      <w:r>
        <w:rPr>
          <w:rFonts w:ascii="方正黑体_GBK" w:eastAsia="方正黑体_GBK" w:hint="eastAsia"/>
          <w:sz w:val="33"/>
          <w:szCs w:val="33"/>
          <w:lang w:val="zh-CN"/>
        </w:rPr>
        <w:t>一、项目概况</w:t>
      </w:r>
    </w:p>
    <w:p>
      <w:pPr>
        <w:ind w:firstLineChars="200" w:firstLine="660"/>
        <w:rPr>
          <w:rFonts w:ascii="方正楷体_GBK" w:eastAsia="方正楷体_GBK"/>
          <w:b/>
          <w:sz w:val="33"/>
          <w:szCs w:val="33"/>
          <w:lang w:val="zh-CN"/>
        </w:rPr>
      </w:pPr>
      <w:r>
        <w:rPr>
          <w:rFonts w:ascii="方正楷体_GBK" w:eastAsia="方正楷体_GBK" w:hint="eastAsia"/>
          <w:b/>
          <w:sz w:val="33"/>
          <w:szCs w:val="33"/>
          <w:lang w:val="zh-CN"/>
        </w:rPr>
        <w:t>（一）设立背景及基本情况</w:t>
      </w:r>
    </w:p>
    <w:p>
      <w:pPr>
        <w:autoSpaceDE w:val="0"/>
        <w:autoSpaceDN w:val="0"/>
        <w:adjustRightInd w:val="0"/>
        <w:spacing w:line="600" w:lineRule="exact"/>
        <w:ind w:firstLineChars="200" w:firstLine="660"/>
        <w:jc w:val="left"/>
        <w:rPr>
          <w:rFonts w:eastAsia="方正仿宋_GBK"/>
          <w:spacing w:val="-6"/>
          <w:sz w:val="33"/>
          <w:szCs w:val="33"/>
        </w:rPr>
      </w:pPr>
      <w:r>
        <w:rPr>
          <w:rFonts w:eastAsia="方正仿宋_GBK"/>
          <w:sz w:val="33"/>
          <w:szCs w:val="33"/>
        </w:rPr>
        <w:t>中国人民政治协商会议四川省攀枝花市委员会</w:t>
      </w:r>
      <w:r>
        <w:rPr>
          <w:rFonts w:eastAsia="方正仿宋_GBK" w:hint="eastAsia"/>
          <w:sz w:val="33"/>
          <w:szCs w:val="33"/>
        </w:rPr>
        <w:t>办公室</w:t>
      </w:r>
      <w:r>
        <w:rPr>
          <w:rFonts w:eastAsia="方正仿宋_GBK"/>
          <w:sz w:val="33"/>
          <w:szCs w:val="33"/>
        </w:rPr>
        <w:t>是中国人民政治协商会议四川省攀枝花市委员会的工作机构</w:t>
      </w:r>
      <w:r>
        <w:rPr>
          <w:rFonts w:eastAsia="方正仿宋_GBK" w:hint="eastAsia"/>
          <w:sz w:val="33"/>
          <w:szCs w:val="33"/>
        </w:rPr>
        <w:t>，业务运行项目经费是为了保障政协机关、书画院更好履行政协职能，顺利完成2023年各项工作。</w:t>
      </w:r>
    </w:p>
    <w:p>
      <w:pPr>
        <w:ind w:firstLineChars="200" w:firstLine="660"/>
        <w:rPr>
          <w:rFonts w:ascii="方正楷体_GBK" w:eastAsia="方正楷体_GBK"/>
          <w:b/>
          <w:sz w:val="33"/>
          <w:szCs w:val="33"/>
          <w:lang w:val="zh-CN"/>
        </w:rPr>
      </w:pPr>
      <w:r>
        <w:rPr>
          <w:rFonts w:ascii="方正楷体_GBK" w:eastAsia="方正楷体_GBK" w:hint="eastAsia"/>
          <w:b/>
          <w:sz w:val="33"/>
          <w:szCs w:val="33"/>
          <w:lang w:val="zh-CN"/>
        </w:rPr>
        <w:t>（二）实施目的及支持方向</w:t>
      </w:r>
    </w:p>
    <w:p>
      <w:pPr>
        <w:autoSpaceDE w:val="0"/>
        <w:autoSpaceDN w:val="0"/>
        <w:adjustRightInd w:val="0"/>
        <w:spacing w:line="600" w:lineRule="exact"/>
        <w:ind w:firstLineChars="200" w:firstLine="660"/>
        <w:jc w:val="left"/>
        <w:rPr>
          <w:rFonts w:eastAsia="方正仿宋_GBK"/>
          <w:sz w:val="33"/>
          <w:szCs w:val="33"/>
        </w:rPr>
      </w:pPr>
      <w:r>
        <w:rPr>
          <w:rFonts w:eastAsia="方正仿宋_GBK" w:hint="eastAsia"/>
          <w:sz w:val="33"/>
          <w:szCs w:val="33"/>
        </w:rPr>
        <w:t>业务运行项目经费是为了保障政协机关、书画院更好履行政协职能，顺利完成2023年各项工作。</w:t>
      </w:r>
    </w:p>
    <w:p>
      <w:pPr>
        <w:ind w:firstLineChars="200" w:firstLine="660"/>
        <w:rPr>
          <w:rFonts w:ascii="方正楷体_GBK" w:eastAsia="方正楷体_GBK"/>
          <w:b/>
          <w:sz w:val="33"/>
          <w:szCs w:val="33"/>
          <w:lang w:val="zh-CN"/>
        </w:rPr>
      </w:pPr>
      <w:r>
        <w:rPr>
          <w:rFonts w:ascii="方正楷体_GBK" w:eastAsia="方正楷体_GBK" w:hint="eastAsia"/>
          <w:b/>
          <w:sz w:val="33"/>
          <w:szCs w:val="33"/>
          <w:lang w:val="zh-CN"/>
        </w:rPr>
        <w:t>（三）预算安排及分配管理</w:t>
      </w:r>
    </w:p>
    <w:p>
      <w:pPr>
        <w:autoSpaceDE w:val="0"/>
        <w:autoSpaceDN w:val="0"/>
        <w:adjustRightInd w:val="0"/>
        <w:spacing w:line="600" w:lineRule="exact"/>
        <w:ind w:firstLineChars="200" w:firstLine="660"/>
        <w:jc w:val="left"/>
        <w:rPr>
          <w:rFonts w:ascii="仿宋_GB2312" w:hAnsi="仿宋_GB2312"/>
          <w:kern w:val="0"/>
          <w:szCs w:val="32"/>
        </w:rPr>
      </w:pPr>
      <w:r>
        <w:rPr>
          <w:rFonts w:eastAsia="方正仿宋_GBK" w:hint="eastAsia"/>
          <w:sz w:val="33"/>
          <w:szCs w:val="33"/>
        </w:rPr>
        <w:t>为保证项目的顺利实施，</w:t>
      </w:r>
      <w:r>
        <w:rPr>
          <w:rFonts w:eastAsia="方正仿宋_GBK"/>
          <w:sz w:val="33"/>
          <w:szCs w:val="33"/>
        </w:rPr>
        <w:t>中国人民政治协商会议四川省攀枝花市委员会</w:t>
      </w:r>
      <w:r>
        <w:rPr>
          <w:rFonts w:eastAsia="方正仿宋_GBK" w:hint="eastAsia"/>
          <w:sz w:val="33"/>
          <w:szCs w:val="33"/>
        </w:rPr>
        <w:t>办公室在使用资金过程中严格执行财务管理制度，每一笔经济业务都按照程序进行申报、审批，项目专款专用。对于重大的业务和事项，实行集体决策审批共同做出决定。</w:t>
      </w:r>
    </w:p>
    <w:p>
      <w:pPr>
        <w:ind w:firstLineChars="200" w:firstLine="660"/>
        <w:rPr>
          <w:rFonts w:ascii="方正楷体_GBK" w:eastAsia="方正楷体_GBK"/>
          <w:b/>
          <w:sz w:val="33"/>
          <w:szCs w:val="33"/>
          <w:lang w:val="zh-CN"/>
        </w:rPr>
      </w:pPr>
      <w:r>
        <w:rPr>
          <w:rFonts w:ascii="方正楷体_GBK" w:eastAsia="方正楷体_GBK" w:hint="eastAsia"/>
          <w:b/>
          <w:sz w:val="33"/>
          <w:szCs w:val="33"/>
          <w:lang w:val="zh-CN"/>
        </w:rPr>
        <w:t>（四）项目绩效目标设置</w:t>
      </w:r>
    </w:p>
    <w:p>
      <w:pPr>
        <w:ind w:firstLineChars="200" w:firstLine="660"/>
        <w:rPr>
          <w:rFonts w:eastAsia="方正仿宋_GBK" w:hint="eastAsia"/>
          <w:sz w:val="33"/>
          <w:szCs w:val="33"/>
          <w:lang w:val="zh-CN"/>
        </w:rPr>
      </w:pPr>
      <w:r>
        <w:rPr>
          <w:rFonts w:eastAsia="方正仿宋_GBK" w:hint="eastAsia"/>
          <w:sz w:val="33"/>
          <w:szCs w:val="33"/>
          <w:lang w:val="zh-CN"/>
        </w:rPr>
        <w:t>2023年业务运行项目经费年初预算87.25万元，为财政全额拨款，指标已全部下达到位，到位率100%。实际支付87.25万元，资金使用率为100%。</w:t>
      </w:r>
    </w:p>
    <w:p>
      <w:pPr>
        <w:ind w:firstLineChars="200" w:firstLine="660"/>
        <w:rPr>
          <w:rFonts w:ascii="方正黑体_GBK" w:eastAsia="方正黑体_GBK"/>
          <w:sz w:val="33"/>
          <w:szCs w:val="33"/>
          <w:lang w:val="zh-CN"/>
        </w:rPr>
      </w:pPr>
      <w:r>
        <w:rPr>
          <w:rFonts w:ascii="方正黑体_GBK" w:eastAsia="方正黑体_GBK" w:hint="eastAsia"/>
          <w:sz w:val="33"/>
          <w:szCs w:val="33"/>
          <w:lang w:val="zh-CN"/>
        </w:rPr>
        <w:t>二、评价实施</w:t>
      </w:r>
    </w:p>
    <w:p>
      <w:pPr>
        <w:autoSpaceDE w:val="0"/>
        <w:autoSpaceDN w:val="0"/>
        <w:adjustRightInd w:val="0"/>
        <w:spacing w:line="600" w:lineRule="exact"/>
        <w:ind w:firstLineChars="200" w:firstLine="660"/>
        <w:jc w:val="left"/>
        <w:rPr>
          <w:rFonts w:ascii="方正楷体_GBK" w:eastAsia="方正楷体_GBK"/>
          <w:b/>
          <w:sz w:val="33"/>
          <w:szCs w:val="33"/>
          <w:lang w:val="zh-CN"/>
        </w:rPr>
      </w:pPr>
      <w:r>
        <w:rPr>
          <w:rFonts w:ascii="方正楷体_GBK" w:eastAsia="方正楷体_GBK" w:hint="eastAsia"/>
          <w:b/>
          <w:sz w:val="33"/>
          <w:szCs w:val="33"/>
          <w:lang w:val="zh-CN"/>
        </w:rPr>
        <w:t>（一）评价目的</w:t>
      </w:r>
    </w:p>
    <w:p>
      <w:pPr>
        <w:ind w:firstLineChars="200" w:firstLine="660"/>
        <w:rPr>
          <w:rFonts w:eastAsia="方正仿宋_GBK" w:hint="eastAsia"/>
          <w:sz w:val="33"/>
          <w:szCs w:val="33"/>
          <w:lang w:val="zh-CN"/>
        </w:rPr>
      </w:pPr>
      <w:r>
        <w:rPr>
          <w:rFonts w:eastAsia="方正仿宋_GBK" w:hint="eastAsia"/>
          <w:sz w:val="33"/>
          <w:szCs w:val="33"/>
          <w:lang w:val="zh-CN"/>
        </w:rPr>
        <w:t>围绕加强政协党的建设、履职工作、组织管理、内部运行，制定完善协商工作规则、主席会议工作规则等7项制度，进一步构建起权责清晰、程序规范、关系顺畅、运行有效地制度体系。</w:t>
      </w:r>
    </w:p>
    <w:p>
      <w:pPr>
        <w:ind w:firstLineChars="200" w:firstLine="660"/>
        <w:rPr>
          <w:rFonts w:ascii="方正楷体_GBK" w:eastAsia="方正楷体_GBK"/>
          <w:b/>
          <w:sz w:val="33"/>
          <w:szCs w:val="33"/>
          <w:lang w:val="zh-CN"/>
        </w:rPr>
      </w:pPr>
      <w:r>
        <w:rPr>
          <w:rFonts w:ascii="方正楷体_GBK" w:eastAsia="方正楷体_GBK" w:hint="eastAsia"/>
          <w:b/>
          <w:sz w:val="33"/>
          <w:szCs w:val="33"/>
          <w:lang w:val="zh-CN"/>
        </w:rPr>
        <w:t>（二）预设问题及评价重点</w:t>
      </w:r>
    </w:p>
    <w:p>
      <w:pPr>
        <w:ind w:firstLineChars="200" w:firstLine="660"/>
        <w:rPr>
          <w:rFonts w:eastAsia="方正仿宋_GBK" w:hint="eastAsia"/>
          <w:sz w:val="33"/>
          <w:szCs w:val="33"/>
          <w:lang w:val="zh-CN"/>
        </w:rPr>
      </w:pPr>
      <w:r>
        <w:rPr>
          <w:rFonts w:eastAsia="方正仿宋_GBK" w:hint="eastAsia"/>
          <w:sz w:val="33"/>
          <w:szCs w:val="33"/>
          <w:lang w:val="zh-CN"/>
        </w:rPr>
        <w:t>业务运行项目经费申报与实际执行情况相符。</w:t>
      </w:r>
    </w:p>
    <w:p>
      <w:pPr>
        <w:ind w:firstLineChars="200" w:firstLine="660"/>
        <w:rPr>
          <w:rFonts w:ascii="方正楷体_GBK" w:eastAsia="方正楷体_GBK"/>
          <w:b/>
          <w:sz w:val="33"/>
          <w:szCs w:val="33"/>
          <w:lang w:val="zh-CN"/>
        </w:rPr>
      </w:pPr>
      <w:r>
        <w:rPr>
          <w:rFonts w:ascii="方正楷体_GBK" w:eastAsia="方正楷体_GBK" w:hint="eastAsia"/>
          <w:b/>
          <w:sz w:val="33"/>
          <w:szCs w:val="33"/>
          <w:lang w:val="zh-CN"/>
        </w:rPr>
        <w:t>（三）评价选点</w:t>
      </w:r>
    </w:p>
    <w:p>
      <w:pPr>
        <w:ind w:firstLineChars="200" w:firstLine="660"/>
        <w:rPr>
          <w:rFonts w:eastAsia="方正仿宋_GBK" w:hint="eastAsia"/>
          <w:sz w:val="33"/>
          <w:szCs w:val="33"/>
          <w:lang w:val="zh-CN"/>
        </w:rPr>
      </w:pPr>
      <w:r>
        <w:rPr>
          <w:rFonts w:eastAsia="方正仿宋_GBK" w:hint="eastAsia"/>
          <w:sz w:val="33"/>
          <w:szCs w:val="33"/>
          <w:lang w:val="zh-CN"/>
        </w:rPr>
        <w:t>项目绩效自评情况真实。</w:t>
      </w:r>
    </w:p>
    <w:p>
      <w:pPr>
        <w:ind w:firstLineChars="200" w:firstLine="660"/>
        <w:rPr>
          <w:rFonts w:ascii="方正楷体_GBK" w:eastAsia="方正楷体_GBK"/>
          <w:b/>
          <w:sz w:val="33"/>
          <w:szCs w:val="33"/>
          <w:lang w:val="zh-CN"/>
        </w:rPr>
      </w:pPr>
      <w:r>
        <w:rPr>
          <w:rFonts w:ascii="方正楷体_GBK" w:eastAsia="方正楷体_GBK" w:hint="eastAsia"/>
          <w:b/>
          <w:sz w:val="33"/>
          <w:szCs w:val="33"/>
          <w:lang w:val="zh-CN"/>
        </w:rPr>
        <w:t>（四）评价方法</w:t>
      </w:r>
    </w:p>
    <w:p>
      <w:pPr>
        <w:ind w:firstLineChars="200" w:firstLine="660"/>
        <w:rPr>
          <w:rFonts w:eastAsia="方正仿宋_GBK" w:hint="eastAsia"/>
          <w:sz w:val="33"/>
          <w:szCs w:val="33"/>
          <w:lang w:val="zh-CN"/>
        </w:rPr>
      </w:pPr>
      <w:r>
        <w:rPr>
          <w:rFonts w:eastAsia="方正仿宋_GBK" w:hint="eastAsia"/>
          <w:sz w:val="33"/>
          <w:szCs w:val="33"/>
          <w:lang w:val="zh-CN"/>
        </w:rPr>
        <w:t>根据项目情况和评价重点，单位自评法、座谈调研法等多种方法。</w:t>
      </w:r>
    </w:p>
    <w:p>
      <w:pPr>
        <w:ind w:firstLineChars="200" w:firstLine="660"/>
        <w:rPr>
          <w:rFonts w:ascii="方正楷体_GBK" w:eastAsia="方正楷体_GBK"/>
          <w:b/>
          <w:sz w:val="33"/>
          <w:szCs w:val="33"/>
          <w:lang w:val="zh-CN"/>
        </w:rPr>
      </w:pPr>
      <w:r>
        <w:rPr>
          <w:rFonts w:ascii="方正楷体_GBK" w:eastAsia="方正楷体_GBK" w:hint="eastAsia"/>
          <w:b/>
          <w:sz w:val="33"/>
          <w:szCs w:val="33"/>
          <w:lang w:val="zh-CN"/>
        </w:rPr>
        <w:t>（五）评价组织</w:t>
      </w:r>
    </w:p>
    <w:p>
      <w:pPr>
        <w:ind w:firstLineChars="200" w:firstLine="660"/>
        <w:rPr>
          <w:rFonts w:eastAsia="方正仿宋_GBK" w:hint="eastAsia"/>
          <w:sz w:val="33"/>
          <w:szCs w:val="33"/>
          <w:lang w:val="zh-CN"/>
        </w:rPr>
      </w:pPr>
      <w:r>
        <w:rPr>
          <w:rFonts w:eastAsia="方正仿宋_GBK" w:hint="eastAsia"/>
          <w:sz w:val="33"/>
          <w:szCs w:val="33"/>
          <w:lang w:val="zh-CN"/>
        </w:rPr>
        <w:t>项目负责人、分管领导及驻机关纪检组。以项目完成数量级质量情况为准。</w:t>
      </w:r>
    </w:p>
    <w:p>
      <w:pPr>
        <w:ind w:firstLineChars="200" w:firstLine="660"/>
        <w:rPr>
          <w:rFonts w:ascii="方正黑体_GBK" w:eastAsia="方正黑体_GBK"/>
          <w:sz w:val="33"/>
          <w:szCs w:val="33"/>
          <w:lang w:val="zh-CN"/>
        </w:rPr>
      </w:pPr>
      <w:r>
        <w:rPr>
          <w:rFonts w:ascii="方正黑体_GBK" w:eastAsia="方正黑体_GBK" w:hint="eastAsia"/>
          <w:sz w:val="33"/>
          <w:szCs w:val="33"/>
          <w:lang w:val="zh-CN"/>
        </w:rPr>
        <w:t>三、绩效分析</w:t>
      </w:r>
    </w:p>
    <w:p>
      <w:pPr>
        <w:ind w:firstLineChars="200" w:firstLine="660"/>
        <w:rPr>
          <w:rFonts w:ascii="方正楷体_GBK" w:eastAsia="方正楷体_GBK"/>
          <w:b/>
          <w:sz w:val="33"/>
          <w:szCs w:val="33"/>
          <w:lang w:val="zh-CN"/>
        </w:rPr>
      </w:pPr>
      <w:r>
        <w:rPr>
          <w:rFonts w:ascii="方正楷体_GBK" w:eastAsia="方正楷体_GBK" w:hint="eastAsia"/>
          <w:b/>
          <w:sz w:val="33"/>
          <w:szCs w:val="33"/>
          <w:lang w:val="zh-CN"/>
        </w:rPr>
        <w:t>（一）通用指标绩效分析</w:t>
      </w:r>
    </w:p>
    <w:p>
      <w:pPr>
        <w:ind w:firstLineChars="200" w:firstLine="660"/>
        <w:rPr>
          <w:rFonts w:eastAsia="方正仿宋_GBK" w:hint="eastAsia"/>
          <w:sz w:val="33"/>
          <w:szCs w:val="33"/>
          <w:lang w:val="zh-CN"/>
        </w:rPr>
      </w:pPr>
      <w:r>
        <w:rPr>
          <w:rFonts w:eastAsia="方正仿宋_GBK" w:hint="eastAsia"/>
          <w:sz w:val="33"/>
          <w:szCs w:val="33"/>
          <w:lang w:val="zh-CN"/>
        </w:rPr>
        <w:t>1.项目决策。根据市委、市政府工作任务进行项目申报。</w:t>
      </w:r>
    </w:p>
    <w:p>
      <w:pPr>
        <w:ind w:firstLineChars="200" w:firstLine="660"/>
        <w:rPr>
          <w:rFonts w:eastAsia="方正仿宋_GBK" w:hint="eastAsia"/>
          <w:sz w:val="33"/>
          <w:szCs w:val="33"/>
          <w:lang w:val="zh-CN"/>
        </w:rPr>
      </w:pPr>
      <w:r>
        <w:rPr>
          <w:rFonts w:eastAsia="方正仿宋_GBK" w:hint="eastAsia"/>
          <w:sz w:val="33"/>
          <w:szCs w:val="33"/>
          <w:lang w:val="zh-CN"/>
        </w:rPr>
        <w:t>2.项目管理。严格按照先申报、审批，后拨付等项目管理制度使用，完全符合《预算法》及财务管理相关制度，会计资料完整、真实，确保了专款专用、安全规范。</w:t>
      </w:r>
    </w:p>
    <w:p>
      <w:pPr>
        <w:ind w:firstLineChars="200" w:firstLine="660"/>
        <w:rPr>
          <w:rFonts w:eastAsia="方正仿宋_GBK" w:hint="eastAsia"/>
          <w:sz w:val="33"/>
          <w:szCs w:val="33"/>
          <w:lang w:val="zh-CN"/>
        </w:rPr>
      </w:pPr>
      <w:r>
        <w:rPr>
          <w:rFonts w:eastAsia="方正仿宋_GBK" w:hint="eastAsia"/>
          <w:sz w:val="33"/>
          <w:szCs w:val="33"/>
          <w:lang w:val="zh-CN"/>
        </w:rPr>
        <w:t xml:space="preserve">3.项目实施。截止2023年12月31日，业务运行项目经费年初预算87.25万元，财政下达资金87.25万元，资金到位率100%；支出87.25万元，资金执行率100%。  </w:t>
      </w:r>
    </w:p>
    <w:p>
      <w:pPr>
        <w:ind w:firstLineChars="200" w:firstLine="660"/>
        <w:rPr>
          <w:rFonts w:eastAsia="方正仿宋_GBK" w:hint="eastAsia"/>
          <w:sz w:val="33"/>
          <w:szCs w:val="33"/>
          <w:lang w:val="zh-CN"/>
        </w:rPr>
      </w:pPr>
      <w:r>
        <w:rPr>
          <w:rFonts w:eastAsia="方正仿宋_GBK" w:hint="eastAsia"/>
          <w:sz w:val="33"/>
          <w:szCs w:val="33"/>
          <w:lang w:val="zh-CN"/>
        </w:rPr>
        <w:t>4.项目结果。通过项目的实施，通过项目的实施，政协机关和书画院圆满完成2023年各项工作任务。</w:t>
      </w:r>
    </w:p>
    <w:p>
      <w:pPr>
        <w:ind w:firstLineChars="200" w:firstLine="660"/>
        <w:rPr>
          <w:rFonts w:ascii="方正楷体_GBK" w:eastAsia="方正楷体_GBK"/>
          <w:b/>
          <w:sz w:val="33"/>
          <w:szCs w:val="33"/>
          <w:lang w:val="zh-CN"/>
        </w:rPr>
      </w:pPr>
      <w:r>
        <w:rPr>
          <w:rFonts w:ascii="方正楷体_GBK" w:eastAsia="方正楷体_GBK" w:hint="eastAsia"/>
          <w:b/>
          <w:sz w:val="33"/>
          <w:szCs w:val="33"/>
          <w:lang w:val="zh-CN"/>
        </w:rPr>
        <w:t>（二）专用指标绩效分析</w:t>
      </w:r>
    </w:p>
    <w:p>
      <w:pPr>
        <w:ind w:firstLineChars="200" w:firstLine="660"/>
        <w:rPr>
          <w:rFonts w:eastAsia="方正仿宋_GBK" w:hint="eastAsia"/>
          <w:sz w:val="33"/>
          <w:szCs w:val="33"/>
          <w:lang w:val="zh-CN"/>
        </w:rPr>
      </w:pPr>
      <w:r>
        <w:rPr>
          <w:rFonts w:eastAsia="方正仿宋_GBK" w:hint="eastAsia"/>
          <w:sz w:val="33"/>
          <w:szCs w:val="33"/>
          <w:lang w:val="zh-CN"/>
        </w:rPr>
        <w:t>1.产业发展。更好地为全市政协委员服务，完成2023年工作。</w:t>
      </w:r>
    </w:p>
    <w:p>
      <w:pPr>
        <w:autoSpaceDE w:val="0"/>
        <w:autoSpaceDN w:val="0"/>
        <w:adjustRightInd w:val="0"/>
        <w:spacing w:line="600" w:lineRule="exact"/>
        <w:ind w:firstLineChars="200" w:firstLine="660"/>
        <w:jc w:val="left"/>
        <w:rPr>
          <w:rFonts w:ascii="方正楷体_GBK" w:eastAsia="方正楷体_GBK"/>
          <w:b/>
          <w:sz w:val="33"/>
          <w:szCs w:val="33"/>
          <w:lang w:val="zh-CN"/>
        </w:rPr>
      </w:pPr>
      <w:r>
        <w:rPr>
          <w:rFonts w:ascii="方正楷体_GBK" w:eastAsia="方正楷体_GBK" w:hint="eastAsia"/>
          <w:b/>
          <w:sz w:val="33"/>
          <w:szCs w:val="33"/>
          <w:lang w:val="zh-CN"/>
        </w:rPr>
        <w:t>（三）个性指标绩效分析</w:t>
      </w:r>
    </w:p>
    <w:p>
      <w:pPr>
        <w:ind w:firstLineChars="200" w:firstLine="660"/>
        <w:rPr>
          <w:rFonts w:eastAsia="方正仿宋_GBK" w:hint="eastAsia"/>
          <w:sz w:val="33"/>
          <w:szCs w:val="33"/>
          <w:lang w:val="zh-CN"/>
        </w:rPr>
      </w:pPr>
      <w:r>
        <w:rPr>
          <w:rFonts w:eastAsia="方正仿宋_GBK" w:hint="eastAsia"/>
          <w:sz w:val="33"/>
          <w:szCs w:val="33"/>
          <w:lang w:val="zh-CN"/>
        </w:rPr>
        <w:t>业务运行项目经费申报与实际执行情况相符。</w:t>
      </w:r>
    </w:p>
    <w:p>
      <w:pPr>
        <w:ind w:firstLineChars="200" w:firstLine="660"/>
        <w:rPr>
          <w:rFonts w:ascii="方正黑体_GBK" w:eastAsia="方正黑体_GBK"/>
          <w:sz w:val="33"/>
          <w:szCs w:val="33"/>
          <w:lang w:val="zh-CN"/>
        </w:rPr>
      </w:pPr>
      <w:r>
        <w:rPr>
          <w:rFonts w:ascii="方正黑体_GBK" w:eastAsia="方正黑体_GBK" w:hint="eastAsia"/>
          <w:sz w:val="33"/>
          <w:szCs w:val="33"/>
          <w:lang w:val="zh-CN"/>
        </w:rPr>
        <w:t>四、评价结论</w:t>
      </w:r>
    </w:p>
    <w:p>
      <w:pPr>
        <w:pStyle w:val="16"/>
        <w:spacing w:beforeLines="0" w:before="93"/>
        <w:rPr>
          <w:rFonts w:ascii="Times New Roman" w:eastAsia="方正仿宋_GBK" w:cs="Times New Roman" w:hAnsi="Times New Roman" w:hint="eastAsia"/>
          <w:kern w:val="2"/>
          <w:sz w:val="33"/>
          <w:szCs w:val="33"/>
          <w:lang w:val="zh-CN" w:eastAsia="zh-CN" w:bidi="ar-SA"/>
        </w:rPr>
      </w:pPr>
      <w:r>
        <w:rPr>
          <w:rFonts w:eastAsia="方正仿宋_GBK" w:hint="eastAsia"/>
          <w:sz w:val="33"/>
          <w:szCs w:val="33"/>
        </w:rPr>
        <w:t xml:space="preserve"> </w:t>
      </w:r>
      <w:r>
        <w:rPr>
          <w:rFonts w:ascii="Times New Roman" w:eastAsia="方正仿宋_GBK" w:cs="Times New Roman" w:hAnsi="Times New Roman" w:hint="eastAsia"/>
          <w:kern w:val="2"/>
          <w:sz w:val="33"/>
          <w:szCs w:val="33"/>
          <w:lang w:val="zh-CN" w:eastAsia="zh-CN" w:bidi="ar-SA"/>
        </w:rPr>
        <w:t xml:space="preserve">   我部门重视政治协商会议项目经费预算编制，严格执行预算，在执行财政预算的过程中，严格按照资金运行管理要求安排，积极履行职责，切实做到了资金专项专用，无截留、无挪用，有效发挥了财政资金的使用效率。</w:t>
      </w:r>
    </w:p>
    <w:p>
      <w:pPr>
        <w:ind w:firstLineChars="200" w:firstLine="660"/>
        <w:rPr>
          <w:rFonts w:ascii="方正黑体_GBK" w:eastAsia="方正黑体_GBK"/>
          <w:sz w:val="33"/>
          <w:szCs w:val="33"/>
          <w:lang w:val="zh-CN"/>
        </w:rPr>
      </w:pPr>
      <w:r>
        <w:rPr>
          <w:rFonts w:ascii="方正黑体_GBK" w:eastAsia="方正黑体_GBK" w:hint="eastAsia"/>
          <w:sz w:val="33"/>
          <w:szCs w:val="33"/>
          <w:lang w:val="zh-CN"/>
        </w:rPr>
        <w:t>五、存在主要问题</w:t>
      </w:r>
    </w:p>
    <w:p>
      <w:pPr>
        <w:widowControl/>
        <w:adjustRightInd w:val="0"/>
        <w:snapToGrid w:val="0"/>
        <w:spacing w:line="580" w:lineRule="exact"/>
        <w:ind w:firstLineChars="200" w:firstLine="660"/>
        <w:contextualSpacing/>
        <w:jc w:val="left"/>
        <w:rPr>
          <w:rFonts w:ascii="Times New Roman" w:eastAsia="方正仿宋_GBK" w:cs="Times New Roman" w:hAnsi="Times New Roman" w:hint="eastAsia"/>
          <w:kern w:val="2"/>
          <w:sz w:val="33"/>
          <w:szCs w:val="33"/>
          <w:lang w:val="zh-CN" w:eastAsia="zh-CN" w:bidi="ar-SA"/>
        </w:rPr>
      </w:pPr>
      <w:r>
        <w:rPr>
          <w:rFonts w:ascii="Times New Roman" w:eastAsia="方正仿宋_GBK" w:cs="Times New Roman" w:hAnsi="Times New Roman" w:hint="eastAsia"/>
          <w:kern w:val="2"/>
          <w:sz w:val="33"/>
          <w:szCs w:val="33"/>
          <w:lang w:val="zh-CN" w:eastAsia="zh-CN" w:bidi="ar-SA"/>
        </w:rPr>
        <w:t>要保障项目规范有效地实施，还面临着许多困难和问题：本部门在预算项目执行中，还存在项目推进有滞后的情况。</w:t>
      </w:r>
    </w:p>
    <w:p>
      <w:pPr>
        <w:autoSpaceDE w:val="0"/>
        <w:autoSpaceDN w:val="0"/>
        <w:adjustRightInd w:val="0"/>
        <w:spacing w:line="600" w:lineRule="exact"/>
        <w:ind w:firstLineChars="200" w:firstLine="660"/>
        <w:jc w:val="left"/>
        <w:rPr>
          <w:rFonts w:ascii="方正黑体_GBK" w:eastAsia="方正黑体_GBK"/>
          <w:sz w:val="33"/>
          <w:szCs w:val="33"/>
          <w:lang w:val="zh-CN"/>
        </w:rPr>
      </w:pPr>
      <w:r>
        <w:rPr>
          <w:rFonts w:ascii="方正黑体_GBK" w:eastAsia="方正黑体_GBK" w:hint="eastAsia"/>
          <w:sz w:val="33"/>
          <w:szCs w:val="33"/>
          <w:lang w:val="zh-CN"/>
        </w:rPr>
        <w:t>六、改进建议</w:t>
      </w:r>
    </w:p>
    <w:p>
      <w:pPr>
        <w:widowControl/>
        <w:adjustRightInd w:val="0"/>
        <w:snapToGrid w:val="0"/>
        <w:spacing w:line="580" w:lineRule="exact"/>
        <w:ind w:firstLineChars="200" w:firstLine="660"/>
        <w:contextualSpacing/>
        <w:jc w:val="left"/>
        <w:rPr>
          <w:rFonts w:ascii="Times New Roman" w:eastAsia="方正仿宋_GBK" w:cs="Times New Roman" w:hAnsi="Times New Roman" w:hint="eastAsia"/>
          <w:kern w:val="2"/>
          <w:sz w:val="33"/>
          <w:szCs w:val="33"/>
          <w:lang w:val="zh-CN" w:eastAsia="zh-CN" w:bidi="ar-SA"/>
        </w:rPr>
      </w:pPr>
      <w:r>
        <w:rPr>
          <w:rFonts w:ascii="Times New Roman" w:eastAsia="方正仿宋_GBK" w:cs="Times New Roman" w:hAnsi="Times New Roman" w:hint="eastAsia"/>
          <w:kern w:val="2"/>
          <w:sz w:val="33"/>
          <w:szCs w:val="33"/>
          <w:lang w:val="zh-CN" w:eastAsia="zh-CN" w:bidi="ar-SA"/>
        </w:rPr>
        <w:t>一是继续加强项目资金的使用管理，继续完善相关的管理制度；二是加强对绩效评价工作的管理细化。</w:t>
      </w:r>
    </w:p>
    <w:p>
      <w:pPr>
        <w:adjustRightInd w:val="0"/>
        <w:snapToGrid w:val="0"/>
        <w:spacing w:line="560" w:lineRule="exact"/>
        <w:ind w:firstLine="720"/>
      </w:pPr>
    </w:p>
    <w:p/>
    <w:p>
      <w:pPr>
        <w:jc w:val="center"/>
        <w:rPr>
          <w:rFonts w:ascii="方正小标宋_GBK" w:eastAsia="方正小标宋_GBK"/>
          <w:sz w:val="38"/>
          <w:szCs w:val="38"/>
        </w:rPr>
      </w:pPr>
      <w:r>
        <w:rPr>
          <w:rFonts w:ascii="方正小标宋_GBK" w:eastAsia="方正小标宋_GBK" w:hint="eastAsia"/>
          <w:sz w:val="38"/>
          <w:szCs w:val="38"/>
        </w:rPr>
        <w:t>专项预算项目绩效评价报告</w:t>
      </w:r>
    </w:p>
    <w:p>
      <w:pPr>
        <w:rPr>
          <w:rFonts w:eastAsia="仿宋_GB2312"/>
          <w:sz w:val="32"/>
          <w:szCs w:val="32"/>
          <w:lang w:val="zh-CN"/>
        </w:rPr>
      </w:pPr>
    </w:p>
    <w:p>
      <w:pPr>
        <w:ind w:firstLineChars="200" w:firstLine="660"/>
        <w:rPr>
          <w:rFonts w:ascii="方正黑体_GBK" w:eastAsia="方正黑体_GBK"/>
          <w:sz w:val="33"/>
          <w:szCs w:val="33"/>
          <w:lang w:val="zh-CN"/>
        </w:rPr>
      </w:pPr>
      <w:r>
        <w:rPr>
          <w:rFonts w:ascii="方正黑体_GBK" w:eastAsia="方正黑体_GBK" w:hint="eastAsia"/>
          <w:sz w:val="33"/>
          <w:szCs w:val="33"/>
          <w:lang w:val="zh-CN"/>
        </w:rPr>
        <w:t>一、项目概况</w:t>
      </w:r>
    </w:p>
    <w:p>
      <w:pPr>
        <w:ind w:firstLineChars="200" w:firstLine="660"/>
        <w:rPr>
          <w:rFonts w:ascii="方正楷体_GBK" w:eastAsia="方正楷体_GBK"/>
          <w:b/>
          <w:sz w:val="33"/>
          <w:szCs w:val="33"/>
          <w:lang w:val="zh-CN"/>
        </w:rPr>
      </w:pPr>
      <w:r>
        <w:rPr>
          <w:rFonts w:ascii="方正楷体_GBK" w:eastAsia="方正楷体_GBK" w:hint="eastAsia"/>
          <w:b/>
          <w:sz w:val="33"/>
          <w:szCs w:val="33"/>
          <w:lang w:val="zh-CN"/>
        </w:rPr>
        <w:t>（一）设立背景及基本情况</w:t>
      </w:r>
    </w:p>
    <w:p>
      <w:pPr>
        <w:widowControl/>
        <w:adjustRightInd w:val="0"/>
        <w:snapToGrid w:val="0"/>
        <w:spacing w:line="580" w:lineRule="exact"/>
        <w:ind w:firstLineChars="200" w:firstLine="660"/>
        <w:contextualSpacing/>
        <w:jc w:val="left"/>
        <w:rPr>
          <w:rFonts w:ascii="Times New Roman" w:eastAsia="方正仿宋_GBK" w:cs="Times New Roman" w:hAnsi="Times New Roman" w:hint="eastAsia"/>
          <w:kern w:val="2"/>
          <w:sz w:val="33"/>
          <w:szCs w:val="33"/>
          <w:lang w:val="zh-CN" w:eastAsia="zh-CN" w:bidi="ar-SA"/>
        </w:rPr>
      </w:pPr>
      <w:r>
        <w:rPr>
          <w:rFonts w:ascii="Times New Roman" w:eastAsia="方正仿宋_GBK" w:cs="Times New Roman" w:hAnsi="Times New Roman" w:hint="eastAsia"/>
          <w:kern w:val="2"/>
          <w:sz w:val="33"/>
          <w:szCs w:val="33"/>
          <w:lang w:val="zh-CN" w:eastAsia="zh-CN" w:bidi="ar-SA"/>
        </w:rPr>
        <w:t>丧葬抚恤经费是为了保障政协机关职工家属能及时足额收到丧葬抚恤补助。</w:t>
      </w:r>
    </w:p>
    <w:p>
      <w:pPr>
        <w:ind w:firstLineChars="200" w:firstLine="660"/>
        <w:rPr>
          <w:rFonts w:ascii="方正楷体_GBK" w:eastAsia="方正楷体_GBK"/>
          <w:b/>
          <w:sz w:val="33"/>
          <w:szCs w:val="33"/>
          <w:lang w:val="zh-CN"/>
        </w:rPr>
      </w:pPr>
      <w:r>
        <w:rPr>
          <w:rFonts w:ascii="方正楷体_GBK" w:eastAsia="方正楷体_GBK" w:hint="eastAsia"/>
          <w:b/>
          <w:sz w:val="33"/>
          <w:szCs w:val="33"/>
          <w:lang w:val="zh-CN"/>
        </w:rPr>
        <w:t>（二）实施目的及支持方向</w:t>
      </w:r>
    </w:p>
    <w:p>
      <w:pPr>
        <w:widowControl/>
        <w:adjustRightInd w:val="0"/>
        <w:snapToGrid w:val="0"/>
        <w:spacing w:line="580" w:lineRule="exact"/>
        <w:ind w:firstLineChars="200" w:firstLine="660"/>
        <w:contextualSpacing/>
        <w:jc w:val="left"/>
        <w:rPr>
          <w:rFonts w:ascii="Times New Roman" w:eastAsia="方正仿宋_GBK" w:cs="Times New Roman" w:hAnsi="Times New Roman" w:hint="eastAsia"/>
          <w:kern w:val="2"/>
          <w:sz w:val="33"/>
          <w:szCs w:val="33"/>
          <w:lang w:val="zh-CN" w:eastAsia="zh-CN" w:bidi="ar-SA"/>
        </w:rPr>
      </w:pPr>
      <w:r>
        <w:rPr>
          <w:rFonts w:ascii="Times New Roman" w:eastAsia="方正仿宋_GBK" w:cs="Times New Roman" w:hAnsi="Times New Roman" w:hint="eastAsia"/>
          <w:kern w:val="2"/>
          <w:sz w:val="33"/>
          <w:szCs w:val="33"/>
          <w:lang w:val="zh-CN" w:eastAsia="zh-CN" w:bidi="ar-SA"/>
        </w:rPr>
        <w:t>丧葬抚恤经费是为了保障政协机关职工家属能及时足额收到丧葬抚恤补助。</w:t>
      </w:r>
    </w:p>
    <w:p>
      <w:pPr>
        <w:ind w:firstLineChars="200" w:firstLine="660"/>
        <w:rPr>
          <w:rFonts w:ascii="方正楷体_GBK" w:eastAsia="方正楷体_GBK"/>
          <w:b/>
          <w:sz w:val="33"/>
          <w:szCs w:val="33"/>
          <w:lang w:val="zh-CN"/>
        </w:rPr>
      </w:pPr>
      <w:r>
        <w:rPr>
          <w:rFonts w:ascii="方正楷体_GBK" w:eastAsia="方正楷体_GBK" w:hint="eastAsia"/>
          <w:b/>
          <w:sz w:val="33"/>
          <w:szCs w:val="33"/>
          <w:lang w:val="zh-CN"/>
        </w:rPr>
        <w:t>（三）预算安排及分配管理</w:t>
      </w:r>
    </w:p>
    <w:p>
      <w:pPr>
        <w:widowControl/>
        <w:adjustRightInd w:val="0"/>
        <w:snapToGrid w:val="0"/>
        <w:spacing w:line="580" w:lineRule="exact"/>
        <w:ind w:firstLineChars="200" w:firstLine="660"/>
        <w:contextualSpacing/>
        <w:jc w:val="left"/>
        <w:rPr>
          <w:rFonts w:ascii="Times New Roman" w:eastAsia="方正仿宋_GBK" w:cs="Times New Roman" w:hAnsi="Times New Roman" w:hint="eastAsia"/>
          <w:kern w:val="2"/>
          <w:sz w:val="33"/>
          <w:szCs w:val="33"/>
          <w:lang w:val="zh-CN" w:eastAsia="zh-CN" w:bidi="ar-SA"/>
        </w:rPr>
      </w:pPr>
      <w:r>
        <w:rPr>
          <w:rFonts w:ascii="Times New Roman" w:eastAsia="方正仿宋_GBK" w:cs="Times New Roman" w:hAnsi="Times New Roman" w:hint="eastAsia"/>
          <w:kern w:val="2"/>
          <w:sz w:val="33"/>
          <w:szCs w:val="33"/>
          <w:lang w:val="zh-CN" w:eastAsia="zh-CN" w:bidi="ar-SA"/>
        </w:rPr>
        <w:t>为保证项目的顺利实施，中国人民政治协商会议四川省攀枝花市委员会办公室在使用资金过程中严格执行财务管理制度，每一笔经济业务都按照程序进行申报、审批，项目专款专用。对于重大的业务和事项，实行集体决策审批共同做出决定。</w:t>
      </w:r>
    </w:p>
    <w:p>
      <w:pPr>
        <w:ind w:firstLineChars="200" w:firstLine="660"/>
        <w:rPr>
          <w:rFonts w:ascii="方正楷体_GBK" w:eastAsia="方正楷体_GBK"/>
          <w:b/>
          <w:sz w:val="33"/>
          <w:szCs w:val="33"/>
          <w:lang w:val="zh-CN"/>
        </w:rPr>
      </w:pPr>
      <w:r>
        <w:rPr>
          <w:rFonts w:ascii="方正楷体_GBK" w:eastAsia="方正楷体_GBK" w:hint="eastAsia"/>
          <w:b/>
          <w:sz w:val="33"/>
          <w:szCs w:val="33"/>
          <w:lang w:val="zh-CN"/>
        </w:rPr>
        <w:t>（四）项目绩效目标设置</w:t>
      </w:r>
    </w:p>
    <w:p>
      <w:pPr>
        <w:widowControl/>
        <w:adjustRightInd w:val="0"/>
        <w:snapToGrid w:val="0"/>
        <w:spacing w:line="580" w:lineRule="exact"/>
        <w:ind w:firstLineChars="200" w:firstLine="660"/>
        <w:contextualSpacing/>
        <w:jc w:val="left"/>
        <w:rPr>
          <w:rFonts w:ascii="Times New Roman" w:eastAsia="方正仿宋_GBK" w:cs="Times New Roman" w:hAnsi="Times New Roman" w:hint="eastAsia"/>
          <w:kern w:val="2"/>
          <w:sz w:val="33"/>
          <w:szCs w:val="33"/>
          <w:lang w:val="zh-CN" w:eastAsia="zh-CN" w:bidi="ar-SA"/>
        </w:rPr>
      </w:pPr>
      <w:r>
        <w:rPr>
          <w:rFonts w:ascii="Times New Roman" w:eastAsia="方正仿宋_GBK" w:cs="Times New Roman" w:hAnsi="Times New Roman" w:hint="eastAsia"/>
          <w:kern w:val="2"/>
          <w:sz w:val="33"/>
          <w:szCs w:val="33"/>
          <w:lang w:val="zh-CN" w:eastAsia="zh-CN" w:bidi="ar-SA"/>
        </w:rPr>
        <w:t>2023年丧葬抚恤经费年初预算104.05万元，为财政全额拨款，指标已全部下达到位，到位率100%。实际支付104.05万元，资金使用率为100%。</w:t>
      </w:r>
    </w:p>
    <w:p>
      <w:pPr>
        <w:ind w:firstLineChars="200" w:firstLine="660"/>
        <w:rPr>
          <w:rFonts w:ascii="方正黑体_GBK" w:eastAsia="方正黑体_GBK"/>
          <w:sz w:val="33"/>
          <w:szCs w:val="33"/>
          <w:lang w:val="zh-CN"/>
        </w:rPr>
      </w:pPr>
      <w:r>
        <w:rPr>
          <w:rFonts w:ascii="方正黑体_GBK" w:eastAsia="方正黑体_GBK" w:hint="eastAsia"/>
          <w:sz w:val="33"/>
          <w:szCs w:val="33"/>
          <w:lang w:val="zh-CN"/>
        </w:rPr>
        <w:t>二、评价实施</w:t>
      </w:r>
    </w:p>
    <w:p>
      <w:pPr>
        <w:autoSpaceDE w:val="0"/>
        <w:autoSpaceDN w:val="0"/>
        <w:adjustRightInd w:val="0"/>
        <w:spacing w:line="600" w:lineRule="exact"/>
        <w:ind w:firstLineChars="200" w:firstLine="660"/>
        <w:jc w:val="left"/>
        <w:rPr>
          <w:rFonts w:ascii="方正楷体_GBK" w:eastAsia="方正楷体_GBK"/>
          <w:b/>
          <w:sz w:val="33"/>
          <w:szCs w:val="33"/>
          <w:lang w:val="zh-CN"/>
        </w:rPr>
      </w:pPr>
      <w:r>
        <w:rPr>
          <w:rFonts w:ascii="方正楷体_GBK" w:eastAsia="方正楷体_GBK" w:hint="eastAsia"/>
          <w:b/>
          <w:sz w:val="33"/>
          <w:szCs w:val="33"/>
          <w:lang w:val="zh-CN"/>
        </w:rPr>
        <w:t>（一）评价目的。</w:t>
      </w:r>
    </w:p>
    <w:p>
      <w:pPr>
        <w:widowControl/>
        <w:adjustRightInd w:val="0"/>
        <w:snapToGrid w:val="0"/>
        <w:spacing w:line="580" w:lineRule="exact"/>
        <w:ind w:firstLineChars="200" w:firstLine="660"/>
        <w:contextualSpacing/>
        <w:jc w:val="left"/>
        <w:rPr>
          <w:rFonts w:ascii="Times New Roman" w:eastAsia="方正仿宋_GBK" w:cs="Times New Roman" w:hAnsi="Times New Roman" w:hint="eastAsia"/>
          <w:kern w:val="2"/>
          <w:sz w:val="33"/>
          <w:szCs w:val="33"/>
          <w:lang w:val="zh-CN" w:eastAsia="zh-CN" w:bidi="ar-SA"/>
        </w:rPr>
      </w:pPr>
      <w:r>
        <w:rPr>
          <w:rFonts w:ascii="Times New Roman" w:eastAsia="方正仿宋_GBK" w:cs="Times New Roman" w:hAnsi="Times New Roman" w:hint="eastAsia"/>
          <w:kern w:val="2"/>
          <w:sz w:val="33"/>
          <w:szCs w:val="33"/>
          <w:lang w:val="zh-CN" w:eastAsia="zh-CN" w:bidi="ar-SA"/>
        </w:rPr>
        <w:t>丧葬抚恤经费财政安排支付104.05万元。保障政协机关离退休职工李海、何平、宋美光家属及时足额收到补助。</w:t>
      </w:r>
    </w:p>
    <w:p>
      <w:pPr>
        <w:autoSpaceDE w:val="0"/>
        <w:autoSpaceDN w:val="0"/>
        <w:adjustRightInd w:val="0"/>
        <w:spacing w:line="600" w:lineRule="exact"/>
        <w:ind w:firstLineChars="200" w:firstLine="660"/>
        <w:jc w:val="left"/>
        <w:rPr>
          <w:rFonts w:ascii="方正楷体_GBK" w:eastAsia="方正楷体_GBK"/>
          <w:b/>
          <w:sz w:val="33"/>
          <w:szCs w:val="33"/>
          <w:lang w:val="zh-CN"/>
        </w:rPr>
      </w:pPr>
      <w:r>
        <w:rPr>
          <w:rFonts w:ascii="方正楷体_GBK" w:eastAsia="方正楷体_GBK" w:hint="eastAsia"/>
          <w:b/>
          <w:sz w:val="33"/>
          <w:szCs w:val="33"/>
          <w:lang w:val="zh-CN"/>
        </w:rPr>
        <w:t>（二）预设问题及评价重点</w:t>
      </w:r>
    </w:p>
    <w:p>
      <w:pPr>
        <w:autoSpaceDE w:val="0"/>
        <w:autoSpaceDN w:val="0"/>
        <w:adjustRightInd w:val="0"/>
        <w:spacing w:line="600" w:lineRule="exact"/>
        <w:ind w:firstLineChars="200" w:firstLine="660"/>
        <w:jc w:val="left"/>
        <w:rPr>
          <w:rFonts w:eastAsia="方正仿宋_GBK"/>
          <w:sz w:val="33"/>
          <w:szCs w:val="33"/>
        </w:rPr>
      </w:pPr>
      <w:r>
        <w:rPr>
          <w:rFonts w:eastAsia="方正仿宋_GBK" w:hint="eastAsia"/>
          <w:sz w:val="33"/>
          <w:szCs w:val="33"/>
        </w:rPr>
        <w:t>丧葬抚恤经费申报与实际执行情况相符。</w:t>
      </w:r>
    </w:p>
    <w:p>
      <w:pPr>
        <w:ind w:firstLineChars="200" w:firstLine="660"/>
        <w:rPr>
          <w:rFonts w:ascii="方正楷体_GBK" w:eastAsia="方正楷体_GBK"/>
          <w:b/>
          <w:sz w:val="33"/>
          <w:szCs w:val="33"/>
          <w:lang w:val="zh-CN"/>
        </w:rPr>
      </w:pPr>
      <w:r>
        <w:rPr>
          <w:rFonts w:ascii="方正楷体_GBK" w:eastAsia="方正楷体_GBK" w:hint="eastAsia"/>
          <w:b/>
          <w:sz w:val="33"/>
          <w:szCs w:val="33"/>
          <w:lang w:val="zh-CN"/>
        </w:rPr>
        <w:t>（三）评价选点</w:t>
      </w:r>
    </w:p>
    <w:p>
      <w:pPr>
        <w:autoSpaceDE w:val="0"/>
        <w:autoSpaceDN w:val="0"/>
        <w:adjustRightInd w:val="0"/>
        <w:spacing w:line="600" w:lineRule="exact"/>
        <w:ind w:firstLineChars="200" w:firstLine="660"/>
        <w:jc w:val="left"/>
        <w:rPr>
          <w:rFonts w:eastAsia="方正仿宋_GBK" w:hint="eastAsia"/>
          <w:sz w:val="33"/>
          <w:szCs w:val="33"/>
          <w:lang w:val="zh-CN"/>
        </w:rPr>
      </w:pPr>
      <w:r>
        <w:rPr>
          <w:rFonts w:eastAsia="方正仿宋_GBK" w:hint="eastAsia"/>
          <w:sz w:val="33"/>
          <w:szCs w:val="33"/>
          <w:lang w:val="zh-CN"/>
        </w:rPr>
        <w:t>项目绩效自评情况真实。</w:t>
      </w:r>
    </w:p>
    <w:p>
      <w:pPr>
        <w:ind w:firstLineChars="200" w:firstLine="660"/>
        <w:rPr>
          <w:rFonts w:ascii="方正楷体_GBK" w:eastAsia="方正楷体_GBK"/>
          <w:b/>
          <w:sz w:val="33"/>
          <w:szCs w:val="33"/>
          <w:lang w:val="zh-CN"/>
        </w:rPr>
      </w:pPr>
      <w:r>
        <w:rPr>
          <w:rFonts w:ascii="方正楷体_GBK" w:eastAsia="方正楷体_GBK" w:hint="eastAsia"/>
          <w:b/>
          <w:sz w:val="33"/>
          <w:szCs w:val="33"/>
          <w:lang w:val="zh-CN"/>
        </w:rPr>
        <w:t>（四）评价方法</w:t>
      </w:r>
    </w:p>
    <w:p>
      <w:pPr>
        <w:autoSpaceDE w:val="0"/>
        <w:autoSpaceDN w:val="0"/>
        <w:adjustRightInd w:val="0"/>
        <w:spacing w:line="600" w:lineRule="exact"/>
        <w:ind w:firstLineChars="200" w:firstLine="660"/>
        <w:jc w:val="left"/>
        <w:rPr>
          <w:rFonts w:eastAsia="方正仿宋_GBK" w:hint="eastAsia"/>
          <w:sz w:val="33"/>
          <w:szCs w:val="33"/>
          <w:lang w:val="zh-CN"/>
        </w:rPr>
      </w:pPr>
      <w:r>
        <w:rPr>
          <w:rFonts w:eastAsia="方正仿宋_GBK" w:hint="eastAsia"/>
          <w:sz w:val="33"/>
          <w:szCs w:val="33"/>
          <w:lang w:val="zh-CN"/>
        </w:rPr>
        <w:t>根据项目情况和评价重点，单位自评法、座谈调研法等多种方法。</w:t>
      </w:r>
    </w:p>
    <w:p>
      <w:pPr>
        <w:ind w:firstLineChars="200" w:firstLine="660"/>
        <w:rPr>
          <w:rFonts w:ascii="方正楷体_GBK" w:eastAsia="方正楷体_GBK"/>
          <w:b/>
          <w:sz w:val="33"/>
          <w:szCs w:val="33"/>
          <w:lang w:val="zh-CN"/>
        </w:rPr>
      </w:pPr>
      <w:r>
        <w:rPr>
          <w:rFonts w:ascii="方正楷体_GBK" w:eastAsia="方正楷体_GBK" w:hint="eastAsia"/>
          <w:b/>
          <w:sz w:val="33"/>
          <w:szCs w:val="33"/>
          <w:lang w:val="zh-CN"/>
        </w:rPr>
        <w:t>（五）评价组织</w:t>
      </w:r>
    </w:p>
    <w:p>
      <w:pPr>
        <w:autoSpaceDE w:val="0"/>
        <w:autoSpaceDN w:val="0"/>
        <w:adjustRightInd w:val="0"/>
        <w:spacing w:line="600" w:lineRule="exact"/>
        <w:ind w:firstLineChars="200" w:firstLine="660"/>
        <w:jc w:val="left"/>
        <w:rPr>
          <w:rFonts w:eastAsia="方正仿宋_GBK" w:hint="eastAsia"/>
          <w:sz w:val="33"/>
          <w:szCs w:val="33"/>
          <w:lang w:val="zh-CN"/>
        </w:rPr>
      </w:pPr>
      <w:r>
        <w:rPr>
          <w:rFonts w:eastAsia="方正仿宋_GBK" w:hint="eastAsia"/>
          <w:sz w:val="33"/>
          <w:szCs w:val="33"/>
          <w:lang w:val="zh-CN"/>
        </w:rPr>
        <w:t>项目负责人、分管领导及驻机关纪检组。以项目完成数量级质量情况为准。</w:t>
      </w:r>
    </w:p>
    <w:p>
      <w:pPr>
        <w:ind w:firstLineChars="200" w:firstLine="660"/>
        <w:rPr>
          <w:rFonts w:ascii="方正黑体_GBK" w:eastAsia="方正黑体_GBK"/>
          <w:sz w:val="33"/>
          <w:szCs w:val="33"/>
          <w:lang w:val="zh-CN"/>
        </w:rPr>
      </w:pPr>
      <w:r>
        <w:rPr>
          <w:rFonts w:ascii="方正黑体_GBK" w:eastAsia="方正黑体_GBK" w:hint="eastAsia"/>
          <w:sz w:val="33"/>
          <w:szCs w:val="33"/>
          <w:lang w:val="zh-CN"/>
        </w:rPr>
        <w:t>三、绩效分析</w:t>
      </w:r>
    </w:p>
    <w:p>
      <w:pPr>
        <w:ind w:firstLineChars="200" w:firstLine="660"/>
        <w:rPr>
          <w:rFonts w:ascii="方正楷体_GBK" w:eastAsia="方正楷体_GBK"/>
          <w:b/>
          <w:sz w:val="33"/>
          <w:szCs w:val="33"/>
          <w:lang w:val="zh-CN"/>
        </w:rPr>
      </w:pPr>
      <w:r>
        <w:rPr>
          <w:rFonts w:ascii="方正楷体_GBK" w:eastAsia="方正楷体_GBK" w:hint="eastAsia"/>
          <w:b/>
          <w:sz w:val="33"/>
          <w:szCs w:val="33"/>
          <w:lang w:val="zh-CN"/>
        </w:rPr>
        <w:t>（一）通用指标绩效分析</w:t>
      </w:r>
    </w:p>
    <w:p>
      <w:pPr>
        <w:autoSpaceDE w:val="0"/>
        <w:autoSpaceDN w:val="0"/>
        <w:adjustRightInd w:val="0"/>
        <w:spacing w:line="600" w:lineRule="exact"/>
        <w:ind w:firstLineChars="200" w:firstLine="660"/>
        <w:jc w:val="left"/>
        <w:rPr>
          <w:rFonts w:eastAsia="方正仿宋_GBK" w:hint="eastAsia"/>
          <w:sz w:val="33"/>
          <w:szCs w:val="33"/>
          <w:lang w:val="zh-CN"/>
        </w:rPr>
      </w:pPr>
      <w:r>
        <w:rPr>
          <w:rFonts w:eastAsia="方正仿宋_GBK" w:hint="eastAsia"/>
          <w:sz w:val="33"/>
          <w:szCs w:val="33"/>
          <w:lang w:val="zh-CN"/>
        </w:rPr>
        <w:t>1.项目决策。根据人社局、财政局审核要求。</w:t>
      </w:r>
    </w:p>
    <w:p>
      <w:pPr>
        <w:autoSpaceDE w:val="0"/>
        <w:autoSpaceDN w:val="0"/>
        <w:adjustRightInd w:val="0"/>
        <w:spacing w:line="600" w:lineRule="exact"/>
        <w:ind w:firstLineChars="200" w:firstLine="660"/>
        <w:jc w:val="left"/>
        <w:rPr>
          <w:rFonts w:eastAsia="方正仿宋_GBK" w:hint="eastAsia"/>
          <w:sz w:val="33"/>
          <w:szCs w:val="33"/>
          <w:lang w:val="zh-CN"/>
        </w:rPr>
      </w:pPr>
      <w:r>
        <w:rPr>
          <w:rFonts w:eastAsia="方正仿宋_GBK" w:hint="eastAsia"/>
          <w:sz w:val="33"/>
          <w:szCs w:val="33"/>
          <w:lang w:val="zh-CN"/>
        </w:rPr>
        <w:t>2.项目管理。严格按照先申报、审批，后拨付等项目管理制度使用，完全符合《预算法》及财务管理相关制度，会计资料完整、真实，确保了专款专用、安全规范。</w:t>
      </w:r>
    </w:p>
    <w:p>
      <w:pPr>
        <w:widowControl/>
        <w:adjustRightInd w:val="0"/>
        <w:snapToGrid w:val="0"/>
        <w:spacing w:line="560" w:lineRule="exact"/>
        <w:ind w:firstLineChars="200" w:firstLine="660"/>
        <w:contextualSpacing/>
        <w:jc w:val="left"/>
        <w:rPr>
          <w:rFonts w:eastAsia="方正仿宋_GBK"/>
          <w:sz w:val="33"/>
          <w:szCs w:val="33"/>
        </w:rPr>
      </w:pPr>
      <w:r>
        <w:rPr>
          <w:rFonts w:eastAsia="方正仿宋_GBK" w:hint="eastAsia"/>
          <w:sz w:val="33"/>
          <w:szCs w:val="33"/>
          <w:lang w:val="zh-CN"/>
        </w:rPr>
        <w:t>3.项目实施。截止</w:t>
      </w:r>
      <w:r>
        <w:rPr>
          <w:rFonts w:eastAsia="方正仿宋_GBK"/>
          <w:sz w:val="33"/>
          <w:szCs w:val="33"/>
        </w:rPr>
        <w:t>202</w:t>
      </w:r>
      <w:r>
        <w:rPr>
          <w:rFonts w:eastAsia="方正仿宋_GBK" w:hint="eastAsia"/>
          <w:sz w:val="33"/>
          <w:szCs w:val="33"/>
        </w:rPr>
        <w:t>3年</w:t>
      </w:r>
      <w:r>
        <w:rPr>
          <w:rFonts w:eastAsia="方正仿宋_GBK"/>
          <w:sz w:val="33"/>
          <w:szCs w:val="33"/>
        </w:rPr>
        <w:t>12</w:t>
      </w:r>
      <w:r>
        <w:rPr>
          <w:rFonts w:eastAsia="方正仿宋_GBK" w:hint="eastAsia"/>
          <w:sz w:val="33"/>
          <w:szCs w:val="33"/>
        </w:rPr>
        <w:t>月</w:t>
      </w:r>
      <w:r>
        <w:rPr>
          <w:rFonts w:eastAsia="方正仿宋_GBK"/>
          <w:sz w:val="33"/>
          <w:szCs w:val="33"/>
        </w:rPr>
        <w:t>31</w:t>
      </w:r>
      <w:r>
        <w:rPr>
          <w:rFonts w:eastAsia="方正仿宋_GBK" w:hint="eastAsia"/>
          <w:sz w:val="33"/>
          <w:szCs w:val="33"/>
        </w:rPr>
        <w:t>日，丧葬抚恤经费年初预算104.05万元，财政下达资金104.05万元，资金到位率</w:t>
      </w:r>
      <w:r>
        <w:rPr>
          <w:rFonts w:eastAsia="方正仿宋_GBK"/>
          <w:sz w:val="33"/>
          <w:szCs w:val="33"/>
        </w:rPr>
        <w:t>100%</w:t>
      </w:r>
      <w:r>
        <w:rPr>
          <w:rFonts w:eastAsia="方正仿宋_GBK" w:hint="eastAsia"/>
          <w:sz w:val="33"/>
          <w:szCs w:val="33"/>
        </w:rPr>
        <w:t>；支出104.05万元，资金执行率100</w:t>
      </w:r>
      <w:r>
        <w:rPr>
          <w:rFonts w:eastAsia="方正仿宋_GBK"/>
          <w:sz w:val="33"/>
          <w:szCs w:val="33"/>
        </w:rPr>
        <w:t>%</w:t>
      </w:r>
      <w:r>
        <w:rPr>
          <w:rFonts w:eastAsia="方正仿宋_GBK" w:hint="eastAsia"/>
          <w:sz w:val="33"/>
          <w:szCs w:val="33"/>
        </w:rPr>
        <w:t xml:space="preserve">。  </w:t>
      </w:r>
    </w:p>
    <w:p>
      <w:pPr>
        <w:adjustRightInd w:val="0"/>
        <w:snapToGrid w:val="0"/>
        <w:spacing w:line="560" w:lineRule="exact"/>
        <w:ind w:firstLine="720"/>
        <w:rPr>
          <w:rFonts w:eastAsia="方正仿宋_GBK" w:hint="eastAsia"/>
          <w:sz w:val="33"/>
          <w:szCs w:val="33"/>
          <w:lang w:val="zh-CN"/>
        </w:rPr>
      </w:pPr>
      <w:r>
        <w:rPr>
          <w:rFonts w:eastAsia="方正仿宋_GBK" w:hint="eastAsia"/>
          <w:sz w:val="33"/>
          <w:szCs w:val="33"/>
          <w:lang w:val="zh-CN"/>
        </w:rPr>
        <w:t>4.项目结果。通过项目的实施，确保了李海、何平及宋美光家属及时足额收到了抚恤补助。</w:t>
      </w:r>
    </w:p>
    <w:p>
      <w:pPr>
        <w:ind w:firstLineChars="200" w:firstLine="660"/>
        <w:rPr>
          <w:rFonts w:ascii="方正楷体_GBK" w:eastAsia="方正楷体_GBK"/>
          <w:b/>
          <w:sz w:val="33"/>
          <w:szCs w:val="33"/>
          <w:lang w:val="zh-CN"/>
        </w:rPr>
      </w:pPr>
      <w:r>
        <w:rPr>
          <w:rFonts w:ascii="方正楷体_GBK" w:eastAsia="方正楷体_GBK" w:hint="eastAsia"/>
          <w:b/>
          <w:sz w:val="33"/>
          <w:szCs w:val="33"/>
          <w:lang w:val="zh-CN"/>
        </w:rPr>
        <w:t>（二）专用指标绩效分析</w:t>
      </w:r>
    </w:p>
    <w:p>
      <w:pPr>
        <w:ind w:firstLineChars="200" w:firstLine="660"/>
        <w:rPr>
          <w:rFonts w:eastAsia="方正仿宋_GBK" w:hint="eastAsia"/>
          <w:sz w:val="33"/>
          <w:szCs w:val="33"/>
          <w:lang w:val="zh-CN"/>
        </w:rPr>
      </w:pPr>
      <w:r>
        <w:rPr>
          <w:rFonts w:eastAsia="方正仿宋_GBK" w:hint="eastAsia"/>
          <w:sz w:val="33"/>
          <w:szCs w:val="33"/>
          <w:lang w:val="zh-CN"/>
        </w:rPr>
        <w:t>民生保障。保障过世职工的相关补助足额发放。</w:t>
      </w:r>
    </w:p>
    <w:p>
      <w:pPr>
        <w:autoSpaceDE w:val="0"/>
        <w:autoSpaceDN w:val="0"/>
        <w:adjustRightInd w:val="0"/>
        <w:spacing w:line="600" w:lineRule="exact"/>
        <w:ind w:firstLineChars="200" w:firstLine="660"/>
        <w:jc w:val="left"/>
        <w:rPr>
          <w:rFonts w:ascii="方正楷体_GBK" w:eastAsia="方正楷体_GBK"/>
          <w:b/>
          <w:sz w:val="33"/>
          <w:szCs w:val="33"/>
          <w:lang w:val="zh-CN"/>
        </w:rPr>
      </w:pPr>
      <w:r>
        <w:rPr>
          <w:rFonts w:ascii="方正楷体_GBK" w:eastAsia="方正楷体_GBK" w:hint="eastAsia"/>
          <w:b/>
          <w:sz w:val="33"/>
          <w:szCs w:val="33"/>
          <w:lang w:val="zh-CN"/>
        </w:rPr>
        <w:t>（三）个性指标绩效分析</w:t>
      </w:r>
    </w:p>
    <w:p>
      <w:pPr>
        <w:autoSpaceDE w:val="0"/>
        <w:autoSpaceDN w:val="0"/>
        <w:adjustRightInd w:val="0"/>
        <w:spacing w:line="600" w:lineRule="exact"/>
        <w:ind w:firstLineChars="200" w:firstLine="660"/>
        <w:jc w:val="left"/>
        <w:rPr>
          <w:rFonts w:eastAsia="方正仿宋_GBK"/>
          <w:sz w:val="33"/>
          <w:szCs w:val="33"/>
        </w:rPr>
      </w:pPr>
      <w:r>
        <w:rPr>
          <w:rFonts w:eastAsia="方正仿宋_GBK" w:hint="eastAsia"/>
          <w:sz w:val="33"/>
          <w:szCs w:val="33"/>
        </w:rPr>
        <w:t>丧葬抚恤经费申报与实际执行情况相符。</w:t>
      </w:r>
    </w:p>
    <w:p>
      <w:pPr>
        <w:ind w:firstLineChars="200" w:firstLine="660"/>
        <w:rPr>
          <w:rFonts w:ascii="方正黑体_GBK" w:eastAsia="方正黑体_GBK"/>
          <w:sz w:val="33"/>
          <w:szCs w:val="33"/>
          <w:lang w:val="zh-CN"/>
        </w:rPr>
      </w:pPr>
      <w:r>
        <w:rPr>
          <w:rFonts w:ascii="方正黑体_GBK" w:eastAsia="方正黑体_GBK" w:hint="eastAsia"/>
          <w:sz w:val="33"/>
          <w:szCs w:val="33"/>
          <w:lang w:val="zh-CN"/>
        </w:rPr>
        <w:t>四、评价结论</w:t>
      </w:r>
    </w:p>
    <w:p>
      <w:pPr>
        <w:widowControl/>
        <w:adjustRightInd w:val="0"/>
        <w:snapToGrid w:val="0"/>
        <w:spacing w:line="580" w:lineRule="exact"/>
        <w:ind w:firstLineChars="200" w:firstLine="660"/>
        <w:contextualSpacing/>
        <w:jc w:val="left"/>
        <w:rPr>
          <w:rFonts w:ascii="Times New Roman" w:eastAsia="方正仿宋_GBK" w:cs="Times New Roman" w:hAnsi="Times New Roman" w:hint="eastAsia"/>
          <w:kern w:val="2"/>
          <w:sz w:val="33"/>
          <w:szCs w:val="33"/>
          <w:lang w:val="zh-CN" w:eastAsia="zh-CN" w:bidi="ar-SA"/>
        </w:rPr>
      </w:pPr>
      <w:r>
        <w:rPr>
          <w:rFonts w:ascii="Times New Roman" w:eastAsia="方正仿宋_GBK" w:cs="Times New Roman" w:hAnsi="Times New Roman" w:hint="eastAsia"/>
          <w:kern w:val="2"/>
          <w:sz w:val="33"/>
          <w:szCs w:val="33"/>
          <w:lang w:val="zh-CN" w:eastAsia="zh-CN" w:bidi="ar-SA"/>
        </w:rPr>
        <w:t>我部门重视政治协商会议项目经费预算编制，严格执行预算，在执行财政预算的过程中，严格按照资金运行管理要求安排，积极履行职责，切实做到了资金专项专用，无截留、无挪用，有效发挥了财政资金的使用效率。</w:t>
      </w:r>
    </w:p>
    <w:p>
      <w:pPr>
        <w:ind w:firstLineChars="200" w:firstLine="660"/>
        <w:rPr>
          <w:rFonts w:ascii="方正黑体_GBK" w:eastAsia="方正黑体_GBK"/>
          <w:sz w:val="33"/>
          <w:szCs w:val="33"/>
          <w:lang w:val="zh-CN"/>
        </w:rPr>
      </w:pPr>
      <w:r>
        <w:rPr>
          <w:rFonts w:ascii="方正黑体_GBK" w:eastAsia="方正黑体_GBK" w:hint="eastAsia"/>
          <w:sz w:val="33"/>
          <w:szCs w:val="33"/>
          <w:lang w:val="zh-CN"/>
        </w:rPr>
        <w:t>五、存在主要问题</w:t>
      </w:r>
    </w:p>
    <w:p>
      <w:pPr>
        <w:widowControl/>
        <w:adjustRightInd w:val="0"/>
        <w:snapToGrid w:val="0"/>
        <w:spacing w:line="580" w:lineRule="exact"/>
        <w:ind w:firstLineChars="200" w:firstLine="660"/>
        <w:contextualSpacing/>
        <w:jc w:val="left"/>
        <w:rPr>
          <w:rFonts w:eastAsia="方正仿宋_GBK"/>
          <w:sz w:val="33"/>
          <w:szCs w:val="33"/>
        </w:rPr>
      </w:pPr>
      <w:r>
        <w:rPr>
          <w:rFonts w:ascii="仿宋_GB2312" w:eastAsia="方正仿宋_GBK" w:hAnsi="仿宋_GB2312" w:hint="eastAsia"/>
          <w:kern w:val="0"/>
          <w:sz w:val="33"/>
          <w:szCs w:val="33"/>
        </w:rPr>
        <w:t>要保障项目规范有效地实施，还面临着许多困难和问题：</w:t>
      </w:r>
      <w:r>
        <w:rPr>
          <w:rFonts w:eastAsia="方正仿宋_GBK" w:hint="eastAsia"/>
          <w:sz w:val="33"/>
          <w:szCs w:val="33"/>
        </w:rPr>
        <w:t>本部门在预算项目执行中，还存在项目推进有滞后的情况。</w:t>
      </w:r>
    </w:p>
    <w:p>
      <w:pPr>
        <w:autoSpaceDE w:val="0"/>
        <w:autoSpaceDN w:val="0"/>
        <w:adjustRightInd w:val="0"/>
        <w:spacing w:line="600" w:lineRule="exact"/>
        <w:ind w:firstLineChars="200" w:firstLine="660"/>
        <w:jc w:val="left"/>
        <w:rPr>
          <w:rFonts w:ascii="方正黑体_GBK" w:eastAsia="方正黑体_GBK"/>
          <w:sz w:val="33"/>
          <w:szCs w:val="33"/>
          <w:lang w:val="zh-CN"/>
        </w:rPr>
      </w:pPr>
      <w:r>
        <w:rPr>
          <w:rFonts w:ascii="方正黑体_GBK" w:eastAsia="方正黑体_GBK" w:hint="eastAsia"/>
          <w:sz w:val="33"/>
          <w:szCs w:val="33"/>
          <w:lang w:val="zh-CN"/>
        </w:rPr>
        <w:t>六、改进建议</w:t>
      </w:r>
    </w:p>
    <w:p>
      <w:pPr>
        <w:widowControl/>
        <w:adjustRightInd w:val="0"/>
        <w:snapToGrid w:val="0"/>
        <w:spacing w:line="580" w:lineRule="exact"/>
        <w:ind w:firstLineChars="200" w:firstLine="660"/>
        <w:contextualSpacing/>
        <w:jc w:val="left"/>
        <w:rPr>
          <w:rFonts w:ascii="Times New Roman" w:eastAsia="方正仿宋_GBK" w:cs="Times New Roman" w:hAnsi="Times New Roman" w:hint="eastAsia"/>
          <w:kern w:val="2"/>
          <w:sz w:val="33"/>
          <w:szCs w:val="33"/>
          <w:lang w:val="zh-CN" w:eastAsia="zh-CN" w:bidi="ar-SA"/>
        </w:rPr>
      </w:pPr>
      <w:r>
        <w:rPr>
          <w:rFonts w:ascii="Times New Roman" w:eastAsia="方正仿宋_GBK" w:cs="Times New Roman" w:hAnsi="Times New Roman" w:hint="eastAsia"/>
          <w:kern w:val="2"/>
          <w:sz w:val="33"/>
          <w:szCs w:val="33"/>
          <w:lang w:val="zh-CN" w:eastAsia="zh-CN" w:bidi="ar-SA"/>
        </w:rPr>
        <w:t>一是继续加强项目资金的使用管理，继续完善相关的管理制度；二是加强对绩效评价工作的管理细化。</w:t>
      </w:r>
    </w:p>
    <w:p>
      <w:pPr>
        <w:adjustRightInd w:val="0"/>
        <w:snapToGrid w:val="0"/>
        <w:spacing w:line="560" w:lineRule="exact"/>
        <w:ind w:firstLine="720"/>
      </w:pPr>
    </w:p>
    <w:p>
      <w:pPr>
        <w:pStyle w:val="15"/>
      </w:pPr>
    </w:p>
    <w:p>
      <w:pPr>
        <w:pStyle w:val="15"/>
        <w:rPr>
          <w:rFonts w:ascii="Times New Roman" w:eastAsia="宋体" w:hAnsi="Times New Roman" w:hint="eastAsia"/>
          <w:b w:val="0"/>
          <w:sz w:val="21"/>
          <w:szCs w:val="24"/>
        </w:rPr>
      </w:pPr>
    </w:p>
    <w:p/>
    <w:p/>
    <w:p>
      <w:pPr>
        <w:pStyle w:val="1"/>
        <w:jc w:val="center"/>
        <w:rPr>
          <w:rFonts w:ascii="方正小标宋_GBK" w:eastAsia="方正小标宋_GBK"/>
          <w:b w:val="0"/>
          <w:bCs w:val="0"/>
          <w:sz w:val="38"/>
          <w:szCs w:val="38"/>
        </w:rPr>
      </w:pPr>
      <w:bookmarkStart w:id="126" w:name="_Toc176800686"/>
      <w:r>
        <w:rPr>
          <w:rFonts w:ascii="方正小标宋_GBK" w:eastAsia="方正小标宋_GBK" w:hint="eastAsia"/>
          <w:b w:val="0"/>
          <w:bCs w:val="0"/>
          <w:sz w:val="38"/>
          <w:szCs w:val="38"/>
        </w:rPr>
        <w:t>第五部分 附表</w:t>
      </w:r>
      <w:bookmarkEnd w:id="126"/>
    </w:p>
    <w:p>
      <w:pPr>
        <w:rPr>
          <w:rFonts w:ascii="仿宋_GB2312" w:eastAsia="方正仿宋_GBK" w:hAnsi="仿宋_GB2312"/>
          <w:kern w:val="0"/>
          <w:sz w:val="33"/>
          <w:szCs w:val="33"/>
        </w:rPr>
      </w:pPr>
      <w:r>
        <w:rPr>
          <w:rFonts w:ascii="仿宋_GB2312" w:eastAsia="方正仿宋_GBK" w:hAnsi="仿宋_GB2312" w:hint="eastAsia"/>
          <w:kern w:val="0"/>
          <w:sz w:val="33"/>
          <w:szCs w:val="33"/>
        </w:rPr>
        <w:t>一、收入支出决算总表</w:t>
      </w:r>
    </w:p>
    <w:p>
      <w:pPr>
        <w:rPr>
          <w:rFonts w:ascii="仿宋_GB2312" w:eastAsia="方正仿宋_GBK" w:hAnsi="仿宋_GB2312"/>
          <w:kern w:val="0"/>
          <w:sz w:val="33"/>
          <w:szCs w:val="33"/>
        </w:rPr>
      </w:pPr>
      <w:r>
        <w:rPr>
          <w:rFonts w:ascii="仿宋_GB2312" w:eastAsia="方正仿宋_GBK" w:hAnsi="仿宋_GB2312" w:hint="eastAsia"/>
          <w:kern w:val="0"/>
          <w:sz w:val="33"/>
          <w:szCs w:val="33"/>
        </w:rPr>
        <w:t>二、收入决算表</w:t>
      </w:r>
    </w:p>
    <w:p>
      <w:pPr>
        <w:rPr>
          <w:rFonts w:ascii="仿宋_GB2312" w:eastAsia="方正仿宋_GBK" w:hAnsi="仿宋_GB2312"/>
          <w:kern w:val="0"/>
          <w:sz w:val="33"/>
          <w:szCs w:val="33"/>
        </w:rPr>
      </w:pPr>
      <w:r>
        <w:rPr>
          <w:rFonts w:ascii="仿宋_GB2312" w:eastAsia="方正仿宋_GBK" w:hAnsi="仿宋_GB2312" w:hint="eastAsia"/>
          <w:kern w:val="0"/>
          <w:sz w:val="33"/>
          <w:szCs w:val="33"/>
        </w:rPr>
        <w:t>三、支出决算表</w:t>
      </w:r>
    </w:p>
    <w:p>
      <w:pPr>
        <w:rPr>
          <w:rFonts w:ascii="仿宋_GB2312" w:eastAsia="方正仿宋_GBK" w:hAnsi="仿宋_GB2312"/>
          <w:kern w:val="0"/>
          <w:sz w:val="33"/>
          <w:szCs w:val="33"/>
        </w:rPr>
      </w:pPr>
      <w:r>
        <w:rPr>
          <w:rFonts w:ascii="仿宋_GB2312" w:eastAsia="方正仿宋_GBK" w:hAnsi="仿宋_GB2312" w:hint="eastAsia"/>
          <w:kern w:val="0"/>
          <w:sz w:val="33"/>
          <w:szCs w:val="33"/>
        </w:rPr>
        <w:t>四、财政拨款收入支出决算总表</w:t>
      </w:r>
    </w:p>
    <w:p>
      <w:pPr>
        <w:rPr>
          <w:rFonts w:ascii="仿宋_GB2312" w:eastAsia="方正仿宋_GBK" w:hAnsi="仿宋_GB2312"/>
          <w:kern w:val="0"/>
          <w:sz w:val="33"/>
          <w:szCs w:val="33"/>
        </w:rPr>
      </w:pPr>
      <w:r>
        <w:rPr>
          <w:rFonts w:ascii="仿宋_GB2312" w:eastAsia="方正仿宋_GBK" w:hAnsi="仿宋_GB2312" w:hint="eastAsia"/>
          <w:kern w:val="0"/>
          <w:sz w:val="33"/>
          <w:szCs w:val="33"/>
        </w:rPr>
        <w:t>五、财政拨款支出决算明细表</w:t>
      </w:r>
    </w:p>
    <w:p>
      <w:pPr>
        <w:rPr>
          <w:rFonts w:ascii="仿宋_GB2312" w:eastAsia="方正仿宋_GBK" w:hAnsi="仿宋_GB2312"/>
          <w:kern w:val="0"/>
          <w:sz w:val="33"/>
          <w:szCs w:val="33"/>
        </w:rPr>
      </w:pPr>
      <w:r>
        <w:rPr>
          <w:rFonts w:ascii="仿宋_GB2312" w:eastAsia="方正仿宋_GBK" w:hAnsi="仿宋_GB2312" w:hint="eastAsia"/>
          <w:kern w:val="0"/>
          <w:sz w:val="33"/>
          <w:szCs w:val="33"/>
        </w:rPr>
        <w:t>六、一般公共预算财政拨款支出决算表</w:t>
      </w:r>
    </w:p>
    <w:p>
      <w:pPr>
        <w:rPr>
          <w:rFonts w:ascii="仿宋_GB2312" w:eastAsia="方正仿宋_GBK" w:hAnsi="仿宋_GB2312"/>
          <w:kern w:val="0"/>
          <w:sz w:val="33"/>
          <w:szCs w:val="33"/>
        </w:rPr>
      </w:pPr>
      <w:r>
        <w:rPr>
          <w:rFonts w:ascii="仿宋_GB2312" w:eastAsia="方正仿宋_GBK" w:hAnsi="仿宋_GB2312" w:hint="eastAsia"/>
          <w:kern w:val="0"/>
          <w:sz w:val="33"/>
          <w:szCs w:val="33"/>
        </w:rPr>
        <w:t>七、一般公共预算财政拨款支出决算明细表</w:t>
      </w:r>
    </w:p>
    <w:p>
      <w:pPr>
        <w:rPr>
          <w:rFonts w:ascii="仿宋_GB2312" w:eastAsia="方正仿宋_GBK" w:hAnsi="仿宋_GB2312"/>
          <w:kern w:val="0"/>
          <w:sz w:val="33"/>
          <w:szCs w:val="33"/>
        </w:rPr>
      </w:pPr>
      <w:r>
        <w:rPr>
          <w:rFonts w:ascii="仿宋_GB2312" w:eastAsia="方正仿宋_GBK" w:hAnsi="仿宋_GB2312" w:hint="eastAsia"/>
          <w:kern w:val="0"/>
          <w:sz w:val="33"/>
          <w:szCs w:val="33"/>
        </w:rPr>
        <w:t>八、一般公共预算财政拨款基本支出决算表</w:t>
      </w:r>
    </w:p>
    <w:p>
      <w:pPr>
        <w:rPr>
          <w:rFonts w:ascii="仿宋_GB2312" w:eastAsia="方正仿宋_GBK" w:hAnsi="仿宋_GB2312"/>
          <w:kern w:val="0"/>
          <w:sz w:val="33"/>
          <w:szCs w:val="33"/>
        </w:rPr>
      </w:pPr>
      <w:r>
        <w:rPr>
          <w:rFonts w:ascii="仿宋_GB2312" w:eastAsia="方正仿宋_GBK" w:hAnsi="仿宋_GB2312" w:hint="eastAsia"/>
          <w:kern w:val="0"/>
          <w:sz w:val="33"/>
          <w:szCs w:val="33"/>
        </w:rPr>
        <w:t>九、一般公共预算财政拨款项目支出决算表</w:t>
      </w:r>
    </w:p>
    <w:p>
      <w:pPr>
        <w:rPr>
          <w:rFonts w:ascii="仿宋_GB2312" w:eastAsia="方正仿宋_GBK" w:hAnsi="仿宋_GB2312"/>
          <w:kern w:val="0"/>
          <w:sz w:val="33"/>
          <w:szCs w:val="33"/>
        </w:rPr>
      </w:pPr>
      <w:r>
        <w:rPr>
          <w:rFonts w:ascii="仿宋_GB2312" w:eastAsia="方正仿宋_GBK" w:hAnsi="仿宋_GB2312" w:hint="eastAsia"/>
          <w:kern w:val="0"/>
          <w:sz w:val="33"/>
          <w:szCs w:val="33"/>
        </w:rPr>
        <w:t>十、政府性基金预算财政拨款收入支出决算表</w:t>
      </w:r>
    </w:p>
    <w:p>
      <w:pPr>
        <w:rPr>
          <w:rFonts w:ascii="仿宋_GB2312" w:eastAsia="方正仿宋_GBK" w:hAnsi="仿宋_GB2312"/>
          <w:kern w:val="0"/>
          <w:sz w:val="33"/>
          <w:szCs w:val="33"/>
        </w:rPr>
      </w:pPr>
      <w:r>
        <w:rPr>
          <w:rFonts w:ascii="仿宋_GB2312" w:eastAsia="方正仿宋_GBK" w:hAnsi="仿宋_GB2312" w:hint="eastAsia"/>
          <w:kern w:val="0"/>
          <w:sz w:val="33"/>
          <w:szCs w:val="33"/>
        </w:rPr>
        <w:t>十一、国有资本经营预算财政拨款收入支出决算表</w:t>
      </w:r>
    </w:p>
    <w:p>
      <w:pPr>
        <w:rPr>
          <w:rFonts w:ascii="仿宋_GB2312" w:eastAsia="方正仿宋_GBK" w:hAnsi="仿宋_GB2312"/>
          <w:kern w:val="0"/>
          <w:sz w:val="33"/>
          <w:szCs w:val="33"/>
        </w:rPr>
      </w:pPr>
      <w:r>
        <w:rPr>
          <w:rFonts w:ascii="仿宋_GB2312" w:eastAsia="方正仿宋_GBK" w:hAnsi="仿宋_GB2312" w:hint="eastAsia"/>
          <w:kern w:val="0"/>
          <w:sz w:val="33"/>
          <w:szCs w:val="33"/>
        </w:rPr>
        <w:t>十二、国有资本经营预算财政拨款支出决算表</w:t>
      </w:r>
    </w:p>
    <w:p>
      <w:pPr>
        <w:rPr>
          <w:rFonts w:ascii="仿宋_GB2312" w:eastAsia="方正仿宋_GBK" w:hAnsi="仿宋_GB2312"/>
          <w:kern w:val="0"/>
          <w:sz w:val="33"/>
          <w:szCs w:val="33"/>
        </w:rPr>
      </w:pPr>
      <w:r>
        <w:rPr>
          <w:rFonts w:ascii="仿宋_GB2312" w:eastAsia="方正仿宋_GBK" w:hAnsi="仿宋_GB2312" w:hint="eastAsia"/>
          <w:kern w:val="0"/>
          <w:sz w:val="33"/>
          <w:szCs w:val="33"/>
        </w:rPr>
        <w:t>十三、财政拨款“三公”经费支出决算表</w:t>
      </w:r>
    </w:p>
    <w:sectPr>
      <w:headerReference w:type="default" r:id="rId2"/>
      <w:footerReference w:type="default" r:id="rId3"/>
      <w:pgSz w:w="11906" w:h="16838"/>
      <w:pgMar w:top="1440" w:right="1800" w:bottom="1440" w:left="1800" w:header="851" w:footer="992" w:gutter="0"/>
      <w:pgNumType w:start="1"/>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2010601030101010101"/>
    <w:charset w:val="86"/>
    <w:family w:val="auto"/>
    <w:pitch w:val="variable"/>
    <w:sig w:usb0="00000001" w:usb1="080E0000" w:usb2="00000000" w:usb3="00000000" w:csb0="00040000" w:csb1="00000000"/>
  </w:font>
  <w:font w:name="黑体">
    <w:altName w:val="方正黑体_GBK"/>
    <w:panose1 w:val="02010609060101010101"/>
    <w:charset w:val="86"/>
    <w:family w:val="auto"/>
    <w:pitch w:val="variable"/>
    <w:sig w:usb0="800002BF" w:usb1="38CF7CFA" w:usb2="00000016" w:usb3="00000000" w:csb0="00040001" w:csb1="00000000"/>
  </w:font>
  <w:font w:name="Times New Roman">
    <w:panose1 w:val="02020603050405020304"/>
    <w:charset w:val="01"/>
    <w:family w:val="auto"/>
    <w:pitch w:val="variable"/>
    <w:sig w:usb0="E0002AFF" w:usb1="C0007841" w:usb2="00000009" w:usb3="00000000" w:csb0="400001FF" w:csb1="FFFF0000"/>
  </w:font>
  <w:font w:name="宋体">
    <w:altName w:val="方正书宋_GBK"/>
    <w:panose1 w:val="02010600030101010101"/>
    <w:charset w:val="86"/>
    <w:family w:val="auto"/>
    <w:pitch w:val="variable"/>
    <w:sig w:usb0="00000003" w:usb1="288F0000" w:usb2="00000006" w:usb3="00000000" w:csb0="00040001" w:csb1="00000000"/>
  </w:font>
  <w:font w:name="Calibri">
    <w:altName w:val="Times New Roman"/>
    <w:panose1 w:val="020F0502020204030204"/>
    <w:charset w:val="00"/>
    <w:family w:val="swiss"/>
    <w:pitch w:val="variable"/>
    <w:sig w:usb0="E00002FF" w:usb1="4000ACFF" w:usb2="00000001" w:usb3="00000000" w:csb0="2000019F" w:csb1="00000000"/>
  </w:font>
  <w:font w:name="Arial">
    <w:altName w:val="DejaVu Sans"/>
    <w:panose1 w:val="020B0604020202020204"/>
    <w:charset w:val="01"/>
    <w:family w:val="swiss"/>
    <w:pitch w:val="variable"/>
    <w:sig w:usb0="E0002AFF" w:usb1="C0007843" w:usb2="00000009" w:usb3="00000000" w:csb0="400001FF" w:csb1="FFFF0000"/>
  </w:font>
  <w:font w:name="方正黑体_GBK">
    <w:panose1 w:val="03000509000000000000"/>
    <w:charset w:val="86"/>
    <w:family w:val="script"/>
    <w:pitch w:val="variable"/>
    <w:sig w:usb0="00000001" w:usb1="080E0000" w:usb2="00000000" w:usb3="00000000" w:csb0="00040000" w:csb1="00000000"/>
  </w:font>
  <w:font w:name="仿宋">
    <w:altName w:val="永中仿宋"/>
    <w:panose1 w:val="02010609060101010101"/>
    <w:charset w:val="86"/>
    <w:family w:val="modern"/>
    <w:pitch w:val="variable"/>
    <w:sig w:usb0="800002BF" w:usb1="38CF7CFA" w:usb2="00000016" w:usb3="00000000" w:csb0="00040001" w:csb1="00000000"/>
  </w:font>
  <w:font w:name="方正小标宋_GBK">
    <w:panose1 w:val="03000509000000000000"/>
    <w:charset w:val="86"/>
    <w:family w:val="script"/>
    <w:pitch w:val="variable"/>
    <w:sig w:usb0="00000001" w:usb1="080E0000" w:usb2="00000000" w:usb3="00000000" w:csb0="00040000" w:csb1="00000000"/>
  </w:font>
  <w:font w:name="方正仿宋_GBK">
    <w:panose1 w:val="03000509000000000000"/>
    <w:charset w:val="86"/>
    <w:family w:val="script"/>
    <w:pitch w:val="variable"/>
    <w:sig w:usb0="00000001" w:usb1="080E0000" w:usb2="00000000" w:usb3="00000000" w:csb0="00040000" w:csb1="00000000"/>
  </w:font>
  <w:font w:name="方正楷体_GBK">
    <w:panose1 w:val="03000509000000000000"/>
    <w:charset w:val="86"/>
    <w:family w:val="script"/>
    <w:pitch w:val="variable"/>
    <w:sig w:usb0="00000001" w:usb1="080E0000" w:usb2="00000000" w:usb3="00000000" w:csb0="00040000" w:csb1="00000000"/>
  </w:font>
  <w:font w:name="仿宋_GB2312">
    <w:altName w:val="永中仿宋"/>
    <w:panose1 w:val="02010609030101010101"/>
    <w:charset w:val="86"/>
    <w:family w:val="modern"/>
    <w:pitch w:val="variable"/>
    <w:sig w:usb0="00000001" w:usb1="080E0000" w:usb2="00000000" w:usb3="00000000" w:csb0="00040000" w:csb1="00000000"/>
  </w:font>
  <w:font w:name="楷体_GB2312">
    <w:altName w:val="永中楷体"/>
    <w:panose1 w:val="02010609030101010101"/>
    <w:charset w:val="86"/>
    <w:family w:val="modern"/>
    <w:pitch w:val="variable"/>
    <w:sig w:usb0="00000001" w:usb1="080E0000" w:usb2="00000000" w:usb3="00000000" w:csb0="00040000" w:csb1="00000000"/>
  </w:font>
  <w:font w:name="Cambria">
    <w:altName w:val="DejaVu Sans"/>
    <w:panose1 w:val="02040503050406030204"/>
    <w:charset w:val="00"/>
    <w:family w:val="roman"/>
    <w:pitch w:val="variable"/>
    <w:sig w:usb0="E00002FF" w:usb1="400004FF" w:usb2="00000000" w:usb3="00000000" w:csb0="2000019F" w:csb1="00000000"/>
  </w:font>
  <w:font w:name="??">
    <w:altName w:val="Times New Roman"/>
    <w:panose1 w:val="00000000000000000000"/>
    <w:charset w:val="00"/>
    <w:family w:val="roman"/>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546559291"/>
    </w:sdtPr>
    <w:sdtContent>
      <w:p>
        <w:pPr>
          <w:pStyle w:val="21"/>
          <w:tabs>
            <w:tab w:val="center" w:pos="4153"/>
            <w:tab w:val="right" w:pos="8306"/>
          </w:tabs>
          <w:jc w:val="center"/>
        </w:pPr>
        <w:r>
          <w:fldChar w:fldCharType="begin"/>
        </w:r>
        <w:r>
          <w:instrText>PAGE   \* MERGEFORMAT</w:instrText>
        </w:r>
        <w:r>
          <w:fldChar w:fldCharType="separate"/>
        </w:r>
        <w:r>
          <w:rPr>
            <w:lang w:val="zh-CN"/>
          </w:rPr>
          <w:t>38</w:t>
        </w:r>
        <w:r>
          <w:fldChar w:fldCharType="end"/>
        </w:r>
      </w:p>
    </w:sdtContent>
  </w:sdt>
  <w:p>
    <w:pPr>
      <w:pStyle w:val="21"/>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1272550B"/>
    <w:multiLevelType w:val="multilevel"/>
    <w:tmpl w:val="1272550B"/>
    <w:lvl w:ilvl="0">
      <w:start w:val="1"/>
      <w:numFmt w:val="japaneseCounting"/>
      <w:lvlRestart w:val="0"/>
      <w:lvlText w:val="%1、"/>
      <w:lvlJc w:val="left"/>
      <w:pPr>
        <w:tabs>
          <w:tab w:val="num" w:pos="0"/>
        </w:tabs>
        <w:ind w:left="1360" w:hanging="720"/>
      </w:pPr>
      <w:rPr>
        <w:rFonts w:hint="default"/>
        <w:b w:val="0"/>
      </w:rPr>
    </w:lvl>
    <w:lvl w:ilvl="1">
      <w:start w:val="1"/>
      <w:numFmt w:val="lowerLetter"/>
      <w:lvlText w:val="%2)"/>
      <w:lvlJc w:val="left"/>
      <w:pPr>
        <w:tabs>
          <w:tab w:val="num" w:pos="0"/>
        </w:tabs>
        <w:ind w:left="1480" w:hanging="420"/>
      </w:pPr>
    </w:lvl>
    <w:lvl w:ilvl="2">
      <w:start w:val="1"/>
      <w:numFmt w:val="lowerRoman"/>
      <w:lvlText w:val="%3."/>
      <w:lvlJc w:val="right"/>
      <w:pPr>
        <w:tabs>
          <w:tab w:val="num" w:pos="0"/>
        </w:tabs>
        <w:ind w:left="1900" w:hanging="420"/>
      </w:pPr>
    </w:lvl>
    <w:lvl w:ilvl="3">
      <w:start w:val="1"/>
      <w:numFmt w:val="decimal"/>
      <w:lvlText w:val="%4."/>
      <w:lvlJc w:val="left"/>
      <w:pPr>
        <w:tabs>
          <w:tab w:val="num" w:pos="0"/>
        </w:tabs>
        <w:ind w:left="2320" w:hanging="420"/>
      </w:pPr>
    </w:lvl>
    <w:lvl w:ilvl="4">
      <w:start w:val="1"/>
      <w:numFmt w:val="lowerLetter"/>
      <w:lvlText w:val="%5)"/>
      <w:lvlJc w:val="left"/>
      <w:pPr>
        <w:tabs>
          <w:tab w:val="num" w:pos="0"/>
        </w:tabs>
        <w:ind w:left="2740" w:hanging="420"/>
      </w:pPr>
    </w:lvl>
    <w:lvl w:ilvl="5">
      <w:start w:val="1"/>
      <w:numFmt w:val="lowerRoman"/>
      <w:lvlText w:val="%6."/>
      <w:lvlJc w:val="right"/>
      <w:pPr>
        <w:tabs>
          <w:tab w:val="num" w:pos="0"/>
        </w:tabs>
        <w:ind w:left="3160" w:hanging="420"/>
      </w:pPr>
    </w:lvl>
    <w:lvl w:ilvl="6">
      <w:start w:val="1"/>
      <w:numFmt w:val="decimal"/>
      <w:lvlText w:val="%7."/>
      <w:lvlJc w:val="left"/>
      <w:pPr>
        <w:tabs>
          <w:tab w:val="num" w:pos="0"/>
        </w:tabs>
        <w:ind w:left="3580" w:hanging="420"/>
      </w:pPr>
    </w:lvl>
    <w:lvl w:ilvl="7">
      <w:start w:val="1"/>
      <w:numFmt w:val="lowerLetter"/>
      <w:lvlText w:val="%8)"/>
      <w:lvlJc w:val="left"/>
      <w:pPr>
        <w:tabs>
          <w:tab w:val="num" w:pos="0"/>
        </w:tabs>
        <w:ind w:left="4000" w:hanging="420"/>
      </w:pPr>
    </w:lvl>
    <w:lvl w:ilvl="8">
      <w:start w:val="1"/>
      <w:numFmt w:val="lowerRoman"/>
      <w:lvlText w:val="%9."/>
      <w:lvlJc w:val="right"/>
      <w:pPr>
        <w:tabs>
          <w:tab w:val="num" w:pos="0"/>
        </w:tabs>
        <w:ind w:left="4420" w:hanging="420"/>
      </w:pPr>
    </w:lvl>
  </w:abstractNum>
  <w:abstractNum w:abstractNumId="1">
    <w:nsid w:val="CF652CEC"/>
    <w:multiLevelType w:val="singleLevel"/>
    <w:tmpl w:val="CF652CEC"/>
    <w:lvl w:ilvl="0">
      <w:start w:val="9"/>
      <w:numFmt w:val="chineseCounting"/>
      <w:lvlRestart w:val="0"/>
      <w:suff w:val="nothing"/>
      <w:lvlText w:val="%1、"/>
      <w:lvlJc w:val="left"/>
      <w:pPr>
        <w:tabs>
          <w:tab w:val="num" w:pos="0"/>
        </w:tabs>
        <w:ind w:left="0" w:hanging="0"/>
      </w:pPr>
      <w:rPr>
        <w:rFonts w:hint="eastAsia"/>
      </w:rPr>
    </w:lvl>
  </w:abstractNum>
  <w:abstractNum w:abstractNumId="2">
    <w:nsid w:val="E2FA047D"/>
    <w:multiLevelType w:val="singleLevel"/>
    <w:tmpl w:val="E2FA047D"/>
    <w:lvl w:ilvl="0">
      <w:start w:val="3"/>
      <w:numFmt w:val="chineseCounting"/>
      <w:lvlRestart w:val="0"/>
      <w:suff w:val="space"/>
      <w:lvlText w:val="第%1部分"/>
      <w:lvlJc w:val="left"/>
      <w:pPr>
        <w:tabs>
          <w:tab w:val="num" w:pos="0"/>
        </w:tabs>
        <w:ind w:left="0" w:hanging="0"/>
      </w:pPr>
      <w:rPr>
        <w:rFonts w:hint="eastAsia"/>
      </w:rPr>
    </w:lvl>
  </w:abstractNum>
  <w:abstractNum w:abstractNumId="3">
    <w:nsid w:val="3F4FD466"/>
    <w:multiLevelType w:val="singleLevel"/>
    <w:tmpl w:val="3F4FD466"/>
    <w:lvl w:ilvl="0">
      <w:start w:val="3"/>
      <w:numFmt w:val="chineseCounting"/>
      <w:lvlRestart w:val="0"/>
      <w:suff w:val="nothing"/>
      <w:lvlText w:val="（%1）"/>
      <w:lvlJc w:val="left"/>
      <w:pPr>
        <w:tabs>
          <w:tab w:val="num" w:pos="0"/>
        </w:tabs>
        <w:ind w:left="0" w:hanging="0"/>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oNotDisplayPageBoundaries/>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NzYxMjY3MzYyZGM0ZWVkMWRiNGU1NDBiMTE2YTNhNjY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customStyle="1" w:styleId="15">
    <w:name w:val="标题 5（有编号）（绿盟科技）"/>
    <w:next w:val="0"/>
    <w:pPr>
      <w:keepNext/>
      <w:keepLines/>
      <w:widowControl w:val="0"/>
      <w:spacing w:before="280" w:after="156" w:line="377" w:lineRule="auto"/>
      <w:outlineLvl w:val="4"/>
    </w:pPr>
    <w:rPr>
      <w:rFonts w:ascii="Arial" w:eastAsia="黑体" w:cs="Times New Roman" w:hAnsi="Arial"/>
      <w:b/>
      <w:kern w:val="2"/>
      <w:sz w:val="24"/>
      <w:szCs w:val="28"/>
      <w:lang w:val="en-US" w:eastAsia="zh-CN" w:bidi="ar-SA"/>
    </w:rPr>
  </w:style>
  <w:style w:type="paragraph" w:styleId="16">
    <w:name w:val="Body Text"/>
    <w:basedOn w:val="0"/>
    <w:pPr>
      <w:spacing w:beforeLines="30" w:before="30"/>
    </w:pPr>
    <w:rPr>
      <w:rFonts w:ascii="仿宋_GB2312" w:eastAsia="仿宋_GB2312"/>
      <w:kern w:val="0"/>
      <w:sz w:val="30"/>
    </w:rPr>
  </w:style>
  <w:style w:type="paragraph" w:styleId="17">
    <w:name w:val="Body Text Indent"/>
    <w:basedOn w:val="0"/>
    <w:pPr>
      <w:spacing w:after="120"/>
      <w:ind w:leftChars="200" w:left="200"/>
    </w:pPr>
    <w:rPr>
      <w:rFonts w:ascii="仿宋_GB2312" w:hAnsi="仿宋_GB2312"/>
      <w:szCs w:val="32"/>
    </w:rPr>
  </w:style>
  <w:style w:type="paragraph" w:styleId="18">
    <w:name w:val="toc 3"/>
    <w:basedOn w:val="0"/>
    <w:next w:val="0"/>
    <w:pPr>
      <w:tabs>
        <w:tab w:val="right" w:leader="dot" w:pos="8296"/>
      </w:tabs>
      <w:ind w:leftChars="400" w:left="400"/>
    </w:pPr>
  </w:style>
  <w:style w:type="paragraph" w:styleId="19">
    <w:name w:val="Plain Text"/>
    <w:basedOn w:val="0"/>
    <w:rPr>
      <w:rFonts w:ascii="宋体"/>
    </w:rPr>
  </w:style>
  <w:style w:type="paragraph" w:styleId="20">
    <w:name w:val="Balloon Text"/>
    <w:basedOn w:val="0"/>
    <w:rPr>
      <w:sz w:val="18"/>
      <w:szCs w:val="18"/>
    </w:rPr>
  </w:style>
  <w:style w:type="paragraph" w:styleId="21">
    <w:name w:val="footer"/>
    <w:basedOn w:val="0"/>
    <w:pPr>
      <w:tabs>
        <w:tab w:val="center" w:pos="4153"/>
        <w:tab w:val="right" w:pos="8306"/>
      </w:tabs>
      <w:snapToGrid w:val="0"/>
      <w:jc w:val="left"/>
    </w:pPr>
    <w:rPr>
      <w:rFonts w:ascii="Calibri" w:hAnsi="Calibri"/>
      <w:kern w:val="0"/>
      <w:sz w:val="18"/>
      <w:szCs w:val="18"/>
    </w:rPr>
  </w:style>
  <w:style w:type="paragraph" w:styleId="22">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3">
    <w:name w:val="toc 1"/>
    <w:basedOn w:val="0"/>
    <w:next w:val="0"/>
    <w:pPr>
      <w:tabs>
        <w:tab w:val="right" w:leader="dot" w:pos="8296"/>
      </w:tabs>
      <w:spacing w:before="93"/>
      <w:jc w:val="center"/>
    </w:pPr>
    <w:rPr>
      <w:rFonts w:ascii="仿宋" w:eastAsia="仿宋"/>
      <w:sz w:val="28"/>
      <w:szCs w:val="28"/>
    </w:rPr>
  </w:style>
  <w:style w:type="paragraph" w:styleId="24">
    <w:name w:val="toc 2"/>
    <w:basedOn w:val="0"/>
    <w:next w:val="0"/>
    <w:pPr>
      <w:tabs>
        <w:tab w:val="right" w:leader="dot" w:pos="8296"/>
      </w:tabs>
      <w:ind w:leftChars="200" w:left="200"/>
    </w:pPr>
  </w:style>
  <w:style w:type="paragraph" w:styleId="25">
    <w:name w:val="Normal (Web)"/>
    <w:basedOn w:val="0"/>
    <w:pPr>
      <w:widowControl/>
      <w:spacing w:before="100" w:beforeAutospacing="1" w:after="100" w:afterAutospacing="1"/>
      <w:jc w:val="left"/>
    </w:pPr>
    <w:rPr>
      <w:rFonts w:ascii="宋体" w:eastAsia="仿宋_GB2312" w:cs="宋体" w:hAnsi="宋体"/>
      <w:kern w:val="0"/>
      <w:sz w:val="24"/>
    </w:rPr>
  </w:style>
  <w:style w:type="paragraph" w:styleId="26">
    <w:name w:val="Body Text First Indent 2"/>
    <w:basedOn w:val="17"/>
    <w:pPr>
      <w:ind w:firstLineChars="200" w:firstLine="200"/>
    </w:pPr>
  </w:style>
  <w:style w:type="character" w:styleId="27">
    <w:name w:val="Strong"/>
    <w:basedOn w:val="10"/>
    <w:rPr>
      <w:b/>
    </w:rPr>
  </w:style>
  <w:style w:type="character" w:styleId="28">
    <w:name w:val="Hyperlink"/>
    <w:basedOn w:val="10"/>
    <w:rPr>
      <w:color w:val="0000FF"/>
      <w:u w:val="single"/>
    </w:rPr>
  </w:style>
  <w:style w:type="character" w:customStyle="1" w:styleId="29">
    <w:name w:val="Header Char"/>
    <w:basedOn w:val="10"/>
    <w:rPr>
      <w:rFonts w:ascii="Times New Roman" w:hAnsi="Times New Roman"/>
      <w:sz w:val="18"/>
      <w:szCs w:val="18"/>
    </w:rPr>
  </w:style>
  <w:style w:type="character" w:customStyle="1" w:styleId="30">
    <w:name w:val="Footer Char"/>
    <w:basedOn w:val="10"/>
    <w:rPr>
      <w:rFonts w:ascii="Times New Roman" w:hAnsi="Times New Roman"/>
      <w:sz w:val="18"/>
      <w:szCs w:val="18"/>
    </w:rPr>
  </w:style>
  <w:style w:type="character" w:customStyle="1" w:styleId="31">
    <w:name w:val="Body Text Char"/>
    <w:basedOn w:val="10"/>
    <w:rPr>
      <w:rFonts w:ascii="Times New Roman" w:hAnsi="Times New Roman"/>
      <w:szCs w:val="24"/>
    </w:rPr>
  </w:style>
  <w:style w:type="paragraph" w:customStyle="1" w:styleId="32">
    <w:name w:val="Default"/>
    <w:pPr>
      <w:widowControl w:val="0"/>
      <w:autoSpaceDE w:val="0"/>
      <w:autoSpaceDN w:val="0"/>
      <w:adjustRightInd w:val="0"/>
    </w:pPr>
    <w:rPr>
      <w:rFonts w:ascii="仿宋" w:eastAsia="仿宋" w:cs="仿宋"/>
      <w:color w:val="000000"/>
      <w:sz w:val="24"/>
      <w:szCs w:val="24"/>
      <w:lang w:val="en-US" w:eastAsia="zh-CN" w:bidi="ar-SA"/>
    </w:rPr>
  </w:style>
  <w:style w:type="paragraph" w:styleId="33">
    <w:name w:val="List Paragraph"/>
    <w:basedOn w:val="0"/>
    <w:pPr>
      <w:ind w:firstLineChars="200" w:firstLine="200"/>
    </w:pPr>
  </w:style>
  <w:style w:type="paragraph" w:customStyle="1" w:styleId="34">
    <w:name w:val="TOC 标题1"/>
    <w:basedOn w:val="1"/>
    <w:next w:val="0"/>
    <w:pPr>
      <w:keepNext/>
      <w:keepLines/>
      <w:widowControl/>
      <w:spacing w:before="480" w:after="0" w:line="276" w:lineRule="auto"/>
      <w:jc w:val="left"/>
      <w:outlineLvl w:val="9"/>
    </w:pPr>
    <w:rPr>
      <w:rFonts w:ascii="Cambria" w:eastAsia="宋体" w:cs="Times New Roman" w:hAnsi="Cambria"/>
      <w:color w:val="365F91"/>
      <w:kern w:val="0"/>
      <w:sz w:val="28"/>
      <w:szCs w:val="28"/>
    </w:rPr>
  </w:style>
  <w:style w:type="paragraph" w:customStyle="1" w:styleId="35">
    <w:name w:val="TOC 标题2"/>
    <w:basedOn w:val="1"/>
    <w:next w:val="0"/>
    <w:pPr>
      <w:keepNext/>
      <w:keepLines/>
      <w:widowControl/>
      <w:spacing w:before="480" w:after="0" w:line="276" w:lineRule="auto"/>
      <w:jc w:val="left"/>
      <w:outlineLvl w:val="9"/>
    </w:pPr>
    <w:rPr>
      <w:rFonts w:ascii="Cambria" w:eastAsia="宋体" w:cs="Times New Roman" w:hAnsi="Cambria"/>
      <w:color w:val="365F91"/>
      <w:kern w:val="0"/>
      <w:sz w:val="28"/>
      <w:szCs w:val="28"/>
    </w:rPr>
  </w:style>
  <w:style w:type="paragraph" w:customStyle="1" w:styleId="36">
    <w:name w:val="四号正文"/>
    <w:basedOn w:val="0"/>
    <w:pPr>
      <w:spacing w:line="360" w:lineRule="auto"/>
    </w:pPr>
    <w:rPr>
      <w:rFonts w:ascii="??" w:hAnsi="??"/>
      <w:color w:val="000000"/>
      <w:kern w:val="0"/>
      <w:sz w:val="28"/>
      <w:szCs w:val="21"/>
      <w:lang w:val="zh-CN"/>
    </w:rPr>
  </w:style>
  <w:style w:type="paragraph" w:customStyle="1" w:styleId="37">
    <w:name w:val="TOC Heading"/>
    <w:basedOn w:val="1"/>
    <w:next w:val="0"/>
    <w:pPr>
      <w:keepNext/>
      <w:keepLines/>
      <w:widowControl/>
      <w:spacing w:before="480" w:after="0" w:line="276" w:lineRule="auto"/>
      <w:jc w:val="left"/>
      <w:outlineLvl w:val="9"/>
    </w:pPr>
    <w:rPr>
      <w:rFonts w:ascii="Cambria" w:eastAsia="宋体" w:cs="Times New Roman" w:hAnsi="Cambria"/>
      <w:color w:val="365F91"/>
      <w:kern w:val="0"/>
      <w:sz w:val="28"/>
      <w:szCs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chart" Target="charts/chart1.xml"/><Relationship Id="rId5" Type="http://schemas.openxmlformats.org/officeDocument/2006/relationships/chart" Target="charts/chart2.xml"/><Relationship Id="rId6" Type="http://schemas.openxmlformats.org/officeDocument/2006/relationships/chart" Target="charts/chart3.xml"/><Relationship Id="rId7" Type="http://schemas.openxmlformats.org/officeDocument/2006/relationships/chart" Target="charts/chart4.xml"/><Relationship Id="rId8" Type="http://schemas.openxmlformats.org/officeDocument/2006/relationships/image" Target="media/6.bmp"/><Relationship Id="rId9" Type="http://schemas.openxmlformats.org/officeDocument/2006/relationships/chart" Target="charts/chart5.xml"/><Relationship Id="rId10" Type="http://schemas.openxmlformats.org/officeDocument/2006/relationships/image" Target="media/10.bmp"/><Relationship Id="rId11" Type="http://schemas.openxmlformats.org/officeDocument/2006/relationships/styles" Target="styles.xml"/><Relationship Id="rId12" Type="http://schemas.openxmlformats.org/officeDocument/2006/relationships/numbering" Target="numbering.xml"/><Relationship Id="rId13"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404040"/>
                </a:solidFill>
                <a:latin typeface="Times New Roman"/>
                <a:ea typeface="永中宋体"/>
                <a:cs typeface="Lucida Sans"/>
              </a:defRPr>
            </a:pPr>
            <a:r>
              <a:rPr lang="zh-CN"/>
              <a:t>收、支决算总计变动情况图（万元）</a:t>
            </a:r>
          </a:p>
        </c:rich>
      </c:tx>
      <c:layout/>
      <c:overlay val="0"/>
      <c:spPr>
        <a:noFill/>
        <a:ln>
          <a:noFill/>
        </a:ln>
      </c:spPr>
    </c:title>
    <c:autoTitleDeleted val="1"/>
    <c:plotArea>
      <c:layout/>
      <c:barChart>
        <c:barDir val="col"/>
        <c:grouping val="clustered"/>
        <c:varyColors val="0"/>
        <c:ser>
          <c:idx val="0"/>
          <c:order val="0"/>
          <c:tx>
            <c:v>收入</c:v>
          </c:tx>
          <c:spPr>
            <a:solidFill>
              <a:srgbClr val="4F81BD"/>
            </a:solidFill>
            <a:ln>
              <a:noFill/>
            </a:ln>
          </c:spPr>
          <c:invertIfNegative val="0"/>
          <c:dLbls>
            <c:spPr>
              <a:noFill/>
              <a:ln>
                <a:noFill/>
              </a:ln>
            </c:spPr>
            <c:txPr>
              <a:bodyPr vert="horz"/>
              <a:lstStyle/>
              <a:p>
                <a:pPr>
                  <a:defRPr sz="1000" b="0" i="0" u="none" strike="noStrike" baseline="0">
                    <a:solidFill>
                      <a:srgbClr val="404040"/>
                    </a:solidFill>
                    <a:latin typeface="Times New Roman"/>
                    <a:ea typeface="永中宋体"/>
                    <a:cs typeface="Lucida Sans"/>
                  </a:defRPr>
                </a:pPr>
                <a:endParaRPr lang="zh-CN"/>
              </a:p>
            </c:txPr>
            <c:numFmt formatCode="General" sourceLinked="0"/>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Lit>
              <c:ptCount val="2"/>
              <c:pt idx="0">
                <c:v>2022年</c:v>
              </c:pt>
              <c:pt idx="1">
                <c:v>2023年</c:v>
              </c:pt>
            </c:strLit>
          </c:cat>
          <c:val>
            <c:numRef>
              <c:f/>
              <c:numCache>
                <c:formatCode>General</c:formatCode>
                <c:ptCount val="2"/>
                <c:pt idx="0">
                  <c:v>1964.67</c:v>
                </c:pt>
                <c:pt idx="1">
                  <c:v>2287.61</c:v>
                </c:pt>
              </c:numCache>
            </c:numRef>
          </c:val>
        </c:ser>
        <c:ser>
          <c:idx val="1"/>
          <c:order val="1"/>
          <c:tx>
            <c:v>支出</c:v>
          </c:tx>
          <c:spPr>
            <a:solidFill>
              <a:srgbClr val="C0504D"/>
            </a:solidFill>
            <a:ln>
              <a:noFill/>
            </a:ln>
          </c:spPr>
          <c:invertIfNegative val="0"/>
          <c:dLbls>
            <c:spPr>
              <a:noFill/>
              <a:ln>
                <a:noFill/>
              </a:ln>
            </c:spPr>
            <c:txPr>
              <a:bodyPr vert="horz"/>
              <a:lstStyle/>
              <a:p>
                <a:pPr>
                  <a:defRPr sz="1000" b="0" i="0" u="none" strike="noStrike" baseline="0">
                    <a:solidFill>
                      <a:srgbClr val="404040"/>
                    </a:solidFill>
                    <a:latin typeface="Times New Roman"/>
                    <a:ea typeface="永中宋体"/>
                    <a:cs typeface="Lucida Sans"/>
                  </a:defRPr>
                </a:pPr>
                <a:endParaRPr lang="zh-CN"/>
              </a:p>
            </c:txPr>
            <c:numFmt formatCode="General" sourceLinked="0"/>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Lit>
              <c:ptCount val="2"/>
              <c:pt idx="0">
                <c:v>2022年</c:v>
              </c:pt>
              <c:pt idx="1">
                <c:v>2023年</c:v>
              </c:pt>
            </c:strLit>
          </c:cat>
          <c:val>
            <c:numRef>
              <c:f/>
              <c:numCache>
                <c:formatCode>General</c:formatCode>
                <c:ptCount val="2"/>
                <c:pt idx="0">
                  <c:v>2116.77</c:v>
                </c:pt>
                <c:pt idx="1">
                  <c:v>2287.61</c:v>
                </c:pt>
              </c:numCache>
            </c:numRef>
          </c:val>
        </c:ser>
        <c:overlap val="-28"/>
        <c:gapWidth val="246"/>
        <c:axId val="0"/>
        <c:axId val="1"/>
      </c:barChart>
      <c:catAx>
        <c:axId val="0"/>
        <c:scaling>
          <c:orientation val="minMax"/>
        </c:scaling>
        <c:delete val="0"/>
        <c:axPos val="b"/>
        <c:numFmt formatCode="General" sourceLinked="0"/>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永中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E6E6E6"/>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永中宋体"/>
                <a:cs typeface="Lucida Sans"/>
              </a:defRPr>
            </a:pPr>
            <a:endParaRPr lang="zh-CN"/>
          </a:p>
        </c:txPr>
        <c:crossesAt val="1.0"/>
        <c:crossBetween val="between"/>
        <c:crossAx val="0"/>
      </c:valAx>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永中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永中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404040"/>
                </a:solidFill>
                <a:latin typeface="Times New Roman"/>
                <a:ea typeface="永中宋体"/>
                <a:cs typeface="Lucida Sans"/>
              </a:defRPr>
            </a:pPr>
            <a:r>
              <a:rPr lang="zh-CN"/>
              <a:t>收入决算结构图（万元）</a:t>
            </a:r>
          </a:p>
        </c:rich>
      </c:tx>
      <c:layout>
        <c:manualLayout>
          <c:xMode val="edge"/>
          <c:yMode val="edge"/>
          <c:x val="0.34144738"/>
          <c:y val="0.03125"/>
        </c:manualLayout>
      </c:layout>
      <c:overlay val="0"/>
      <c:spPr>
        <a:noFill/>
        <a:ln>
          <a:noFill/>
        </a:ln>
      </c:spPr>
    </c:title>
    <c:autoTitleDeleted val="1"/>
    <c:plotArea>
      <c:layout/>
      <c:pieChart>
        <c:varyColors val="1"/>
        <c:ser>
          <c:idx val="0"/>
          <c:order val="0"/>
          <c:spPr>
            <a:solidFill>
              <a:srgbClr val="4F81BD"/>
            </a:solidFill>
            <a:ln>
              <a:noFill/>
            </a:ln>
          </c:spPr>
          <c:dPt>
            <c:idx val="0"/>
            <c:bubble3D val="0"/>
            <c:spPr>
              <a:solidFill>
                <a:srgbClr val="4F81BD"/>
              </a:solidFill>
              <a:ln w="6350">
                <a:solidFill>
                  <a:srgbClr val="FFFFFF"/>
                </a:solidFill>
                <a:prstDash val="solid"/>
              </a:ln>
            </c:spPr>
          </c:dPt>
          <c:dPt>
            <c:idx val="1"/>
            <c:bubble3D val="0"/>
            <c:spPr>
              <a:solidFill>
                <a:srgbClr val="C0504D"/>
              </a:solidFill>
              <a:ln w="6350">
                <a:solidFill>
                  <a:srgbClr val="FFFFFF"/>
                </a:solidFill>
                <a:prstDash val="solid"/>
              </a:ln>
            </c:spPr>
          </c:dPt>
          <c:dLbls>
            <c:spPr>
              <a:noFill/>
              <a:ln>
                <a:noFill/>
              </a:ln>
            </c:spPr>
            <c:txPr>
              <a:bodyPr vert="horz"/>
              <a:lstStyle/>
              <a:p>
                <a:pPr>
                  <a:defRPr sz="1000" b="0" i="0" u="none" strike="noStrike" baseline="0">
                    <a:solidFill>
                      <a:srgbClr val="404040"/>
                    </a:solidFill>
                    <a:latin typeface="Times New Roman"/>
                    <a:ea typeface="永中宋体"/>
                    <a:cs typeface="Lucida Sans"/>
                  </a:defRPr>
                </a:pPr>
                <a:endParaRPr lang="zh-CN"/>
              </a:p>
            </c:txPr>
            <c:numFmt formatCode="General" sourceLinked="0"/>
            <c:showLegendKey val="0"/>
            <c:showVal val="1"/>
            <c:showCatName val="0"/>
            <c:showSerName val="0"/>
            <c:showPercent val="0"/>
            <c:showBubbleSize val="0"/>
            <c:showLeaderLines val="1"/>
          </c:dLbls>
          <c:cat>
            <c:strLit>
              <c:ptCount val="2"/>
              <c:pt idx="0">
                <c:v>一般公共预算财政拨款收入</c:v>
              </c:pt>
              <c:pt idx="1">
                <c:v>其他收入</c:v>
              </c:pt>
            </c:strLit>
          </c:cat>
          <c:val>
            <c:numRef>
              <c:f/>
              <c:numCache>
                <c:formatCode>General</c:formatCode>
                <c:ptCount val="2"/>
                <c:pt idx="0">
                  <c:v>2277.79</c:v>
                </c:pt>
                <c:pt idx="1">
                  <c:v>3.6</c:v>
                </c:pt>
              </c:numCache>
            </c:numRef>
          </c:val>
        </c:ser>
        <c:firstSliceAng val="0"/>
      </c:pieChart>
      <c:spPr>
        <a:noFill/>
        <a:ln>
          <a:noFill/>
        </a:ln>
      </c:spPr>
    </c:plotArea>
    <c:legend>
      <c:legendPos val="t"/>
      <c:layout/>
      <c:overlay val="0"/>
      <c:spPr>
        <a:noFill/>
        <a:ln>
          <a:noFill/>
        </a:ln>
      </c:spPr>
      <c:txPr>
        <a:bodyPr/>
        <a:lstStyle/>
        <a:p>
          <a:pPr>
            <a:defRPr sz="900" b="0" i="0" u="none" strike="noStrike" baseline="0">
              <a:solidFill>
                <a:srgbClr val="595959"/>
              </a:solidFill>
              <a:latin typeface="Times New Roman"/>
              <a:ea typeface="永中宋体"/>
              <a:cs typeface="Lucida Sans"/>
            </a:defRPr>
          </a:pPr>
          <a:endParaRPr lang="zh-CN"/>
        </a:p>
      </c:txPr>
    </c:legend>
    <c:plotVisOnly val="1"/>
    <c:dispBlanksAs val="zero"/>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永中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404040"/>
                </a:solidFill>
                <a:latin typeface="Times New Roman"/>
                <a:ea typeface="永中宋体"/>
                <a:cs typeface="Lucida Sans"/>
              </a:defRPr>
            </a:pPr>
            <a:r>
              <a:rPr lang="zh-CN"/>
              <a:t>支出决算结构图（万元）</a:t>
            </a:r>
          </a:p>
        </c:rich>
      </c:tx>
      <c:layout/>
      <c:overlay val="0"/>
      <c:spPr>
        <a:noFill/>
        <a:ln>
          <a:noFill/>
        </a:ln>
      </c:spPr>
    </c:title>
    <c:autoTitleDeleted val="1"/>
    <c:plotArea>
      <c:layout/>
      <c:pieChart>
        <c:varyColors val="1"/>
        <c:ser>
          <c:idx val="0"/>
          <c:order val="0"/>
          <c:spPr>
            <a:solidFill>
              <a:srgbClr val="4F81BD"/>
            </a:solidFill>
            <a:ln>
              <a:noFill/>
            </a:ln>
          </c:spPr>
          <c:dPt>
            <c:idx val="0"/>
            <c:bubble3D val="0"/>
            <c:spPr>
              <a:solidFill>
                <a:srgbClr val="4F81BD"/>
              </a:solidFill>
              <a:ln w="6350">
                <a:solidFill>
                  <a:srgbClr val="FFFFFF"/>
                </a:solidFill>
                <a:prstDash val="solid"/>
              </a:ln>
            </c:spPr>
          </c:dPt>
          <c:dPt>
            <c:idx val="1"/>
            <c:bubble3D val="0"/>
            <c:spPr>
              <a:solidFill>
                <a:srgbClr val="C0504D"/>
              </a:solidFill>
              <a:ln w="6350">
                <a:solidFill>
                  <a:srgbClr val="FFFFFF"/>
                </a:solidFill>
                <a:prstDash val="solid"/>
              </a:ln>
            </c:spPr>
          </c:dPt>
          <c:dLbls>
            <c:spPr>
              <a:noFill/>
              <a:ln>
                <a:noFill/>
              </a:ln>
            </c:spPr>
            <c:txPr>
              <a:bodyPr vert="horz"/>
              <a:lstStyle/>
              <a:p>
                <a:pPr>
                  <a:defRPr sz="1000" b="0" i="0" u="none" strike="noStrike" baseline="0">
                    <a:solidFill>
                      <a:srgbClr val="404040"/>
                    </a:solidFill>
                    <a:latin typeface="Times New Roman"/>
                    <a:ea typeface="永中宋体"/>
                    <a:cs typeface="Lucida Sans"/>
                  </a:defRPr>
                </a:pPr>
                <a:endParaRPr lang="zh-CN"/>
              </a:p>
            </c:txPr>
            <c:numFmt formatCode="General" sourceLinked="0"/>
            <c:showLegendKey val="0"/>
            <c:showVal val="1"/>
            <c:showCatName val="0"/>
            <c:showSerName val="0"/>
            <c:showPercent val="0"/>
            <c:showBubbleSize val="0"/>
            <c:showLeaderLines val="1"/>
          </c:dLbls>
          <c:cat>
            <c:strLit>
              <c:ptCount val="2"/>
              <c:pt idx="0">
                <c:v>基本支出</c:v>
              </c:pt>
              <c:pt idx="1">
                <c:v>项目支出</c:v>
              </c:pt>
            </c:strLit>
          </c:cat>
          <c:val>
            <c:numRef>
              <c:f/>
              <c:numCache>
                <c:formatCode>General</c:formatCode>
                <c:ptCount val="2"/>
                <c:pt idx="0">
                  <c:v>1826.61</c:v>
                </c:pt>
                <c:pt idx="1">
                  <c:v>453.4</c:v>
                </c:pt>
              </c:numCache>
            </c:numRef>
          </c:val>
        </c:ser>
        <c:firstSliceAng val="0"/>
      </c:pieChart>
      <c:spPr>
        <a:noFill/>
        <a:ln>
          <a:noFill/>
        </a:ln>
      </c:spPr>
    </c:plotArea>
    <c:legend>
      <c:legendPos val="t"/>
      <c:layout/>
      <c:overlay val="0"/>
      <c:spPr>
        <a:noFill/>
        <a:ln>
          <a:noFill/>
        </a:ln>
      </c:spPr>
      <c:txPr>
        <a:bodyPr/>
        <a:lstStyle/>
        <a:p>
          <a:pPr>
            <a:defRPr sz="900" b="0" i="0" u="none" strike="noStrike" baseline="0">
              <a:solidFill>
                <a:srgbClr val="595959"/>
              </a:solidFill>
              <a:latin typeface="Times New Roman"/>
              <a:ea typeface="永中宋体"/>
              <a:cs typeface="Lucida Sans"/>
            </a:defRPr>
          </a:pPr>
          <a:endParaRPr lang="zh-CN"/>
        </a:p>
      </c:txPr>
    </c:legend>
    <c:plotVisOnly val="1"/>
    <c:dispBlanksAs val="zero"/>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永中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404040"/>
                </a:solidFill>
                <a:latin typeface="Times New Roman"/>
                <a:ea typeface="永中宋体"/>
                <a:cs typeface="Lucida Sans"/>
              </a:defRPr>
            </a:pPr>
            <a:r>
              <a:rPr lang="zh-CN"/>
              <a:t>财政拨款收、支决算总计变动情况（万元）</a:t>
            </a:r>
          </a:p>
        </c:rich>
      </c:tx>
      <c:layout>
        <c:manualLayout>
          <c:xMode val="edge"/>
          <c:yMode val="edge"/>
          <c:x val="0.20881578"/>
          <c:y val="0.041666668"/>
        </c:manualLayout>
      </c:layout>
      <c:overlay val="0"/>
      <c:spPr>
        <a:noFill/>
        <a:ln>
          <a:noFill/>
        </a:ln>
      </c:spPr>
    </c:title>
    <c:autoTitleDeleted val="1"/>
    <c:plotArea>
      <c:layout>
        <c:manualLayout>
          <c:layoutTarget val="inner"/>
          <c:xMode val="edge"/>
          <c:yMode val="edge"/>
          <c:x val="0.08086842"/>
          <c:y val="0.17638889"/>
          <c:w val="0.88821054"/>
          <c:h val="0.60680556"/>
        </c:manualLayout>
      </c:layout>
      <c:barChart>
        <c:barDir val="col"/>
        <c:grouping val="clustered"/>
        <c:varyColors val="0"/>
        <c:ser>
          <c:idx val="0"/>
          <c:order val="0"/>
          <c:tx>
            <c:v>金额</c:v>
          </c:tx>
          <c:spPr>
            <a:solidFill>
              <a:srgbClr val="4F81BD"/>
            </a:solidFill>
            <a:ln>
              <a:noFill/>
            </a:ln>
          </c:spPr>
          <c:invertIfNegative val="0"/>
          <c:dLbls>
            <c:spPr>
              <a:noFill/>
              <a:ln>
                <a:noFill/>
              </a:ln>
            </c:spPr>
            <c:txPr>
              <a:bodyPr vert="horz"/>
              <a:lstStyle/>
              <a:p>
                <a:pPr>
                  <a:defRPr sz="1000" b="0" i="0" u="none" strike="noStrike" baseline="0">
                    <a:solidFill>
                      <a:srgbClr val="404040"/>
                    </a:solidFill>
                    <a:latin typeface="Times New Roman"/>
                    <a:ea typeface="永中宋体"/>
                    <a:cs typeface="Lucida Sans"/>
                  </a:defRPr>
                </a:pPr>
                <a:endParaRPr lang="zh-CN"/>
              </a:p>
            </c:txPr>
            <c:numFmt formatCode="General" sourceLinked="0"/>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Lit>
              <c:ptCount val="2"/>
              <c:pt idx="0">
                <c:v>2022年</c:v>
              </c:pt>
              <c:pt idx="1">
                <c:v>2023年</c:v>
              </c:pt>
            </c:strLit>
          </c:cat>
          <c:val>
            <c:numRef>
              <c:f/>
              <c:numCache>
                <c:formatCode>General</c:formatCode>
                <c:ptCount val="2"/>
                <c:pt idx="0">
                  <c:v>2116.67</c:v>
                </c:pt>
                <c:pt idx="1">
                  <c:v>2277.79</c:v>
                </c:pt>
              </c:numCache>
            </c:numRef>
          </c:val>
        </c:ser>
        <c:overlap val="-28"/>
        <c:gapWidth val="246"/>
        <c:axId val="0"/>
        <c:axId val="1"/>
      </c:barChart>
      <c:catAx>
        <c:axId val="0"/>
        <c:scaling>
          <c:orientation val="minMax"/>
        </c:scaling>
        <c:delete val="0"/>
        <c:axPos val="b"/>
        <c:numFmt formatCode="General" sourceLinked="0"/>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永中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E6E6E6"/>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永中宋体"/>
                <a:cs typeface="Lucida Sans"/>
              </a:defRPr>
            </a:pPr>
            <a:endParaRPr lang="zh-CN"/>
          </a:p>
        </c:txPr>
        <c:crossesAt val="1.0"/>
        <c:crossBetween val="between"/>
        <c:crossAx val="0"/>
      </c:valAx>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永中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永中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404040"/>
                </a:solidFill>
                <a:latin typeface="Times New Roman"/>
                <a:ea typeface="永中宋体"/>
                <a:cs typeface="Lucida Sans"/>
              </a:defRPr>
            </a:pPr>
            <a:r>
              <a:rPr lang="zh-CN"/>
              <a:t>一般公共预算财政拨款支出决算结构（万元）</a:t>
            </a:r>
          </a:p>
        </c:rich>
      </c:tx>
      <c:layout/>
      <c:overlay val="0"/>
      <c:spPr>
        <a:noFill/>
        <a:ln>
          <a:noFill/>
        </a:ln>
      </c:spPr>
    </c:title>
    <c:autoTitleDeleted val="1"/>
    <c:plotArea>
      <c:layout/>
      <c:pieChart>
        <c:varyColors val="1"/>
        <c:ser>
          <c:idx val="0"/>
          <c:order val="0"/>
          <c:spPr>
            <a:solidFill>
              <a:srgbClr val="4F81BD"/>
            </a:solidFill>
            <a:ln>
              <a:noFill/>
            </a:ln>
          </c:spPr>
          <c:dPt>
            <c:idx val="0"/>
            <c:bubble3D val="0"/>
            <c:spPr>
              <a:solidFill>
                <a:srgbClr val="4F81BD"/>
              </a:solidFill>
              <a:ln w="6350">
                <a:solidFill>
                  <a:srgbClr val="FFFFFF"/>
                </a:solidFill>
                <a:prstDash val="solid"/>
              </a:ln>
            </c:spPr>
          </c:dPt>
          <c:dPt>
            <c:idx val="1"/>
            <c:bubble3D val="0"/>
            <c:spPr>
              <a:solidFill>
                <a:srgbClr val="C0504D"/>
              </a:solidFill>
              <a:ln w="6350">
                <a:solidFill>
                  <a:srgbClr val="FFFFFF"/>
                </a:solidFill>
                <a:prstDash val="solid"/>
              </a:ln>
            </c:spPr>
          </c:dPt>
          <c:dPt>
            <c:idx val="2"/>
            <c:bubble3D val="0"/>
            <c:spPr>
              <a:solidFill>
                <a:srgbClr val="9BBB59"/>
              </a:solidFill>
              <a:ln w="6350">
                <a:solidFill>
                  <a:srgbClr val="FFFFFF"/>
                </a:solidFill>
                <a:prstDash val="solid"/>
              </a:ln>
            </c:spPr>
          </c:dPt>
          <c:dPt>
            <c:idx val="3"/>
            <c:bubble3D val="0"/>
            <c:spPr>
              <a:solidFill>
                <a:srgbClr val="8064A2"/>
              </a:solidFill>
              <a:ln w="6350">
                <a:solidFill>
                  <a:srgbClr val="FFFFFF"/>
                </a:solidFill>
                <a:prstDash val="solid"/>
              </a:ln>
            </c:spPr>
          </c:dPt>
          <c:dPt>
            <c:idx val="4"/>
            <c:bubble3D val="0"/>
            <c:spPr>
              <a:solidFill>
                <a:srgbClr val="4BACC6"/>
              </a:solidFill>
              <a:ln w="6350">
                <a:solidFill>
                  <a:srgbClr val="FFFFFF"/>
                </a:solidFill>
                <a:prstDash val="solid"/>
              </a:ln>
            </c:spPr>
          </c:dPt>
          <c:dLbls>
            <c:spPr>
              <a:noFill/>
              <a:ln>
                <a:noFill/>
              </a:ln>
            </c:spPr>
            <c:txPr>
              <a:bodyPr vert="horz"/>
              <a:lstStyle/>
              <a:p>
                <a:pPr>
                  <a:defRPr sz="1000" b="0" i="0" u="none" strike="noStrike" baseline="0">
                    <a:solidFill>
                      <a:srgbClr val="404040"/>
                    </a:solidFill>
                    <a:latin typeface="Times New Roman"/>
                    <a:ea typeface="永中宋体"/>
                    <a:cs typeface="Lucida Sans"/>
                  </a:defRPr>
                </a:pPr>
                <a:endParaRPr lang="zh-CN"/>
              </a:p>
            </c:txPr>
            <c:numFmt formatCode="General" sourceLinked="0"/>
            <c:dLbl>
              <c:idx val="2"/>
              <c:layout>
                <c:manualLayout>
                  <c:x val="-0.09866159"/>
                  <c:y val="-0.008724177"/>
                </c:manualLayout>
              </c:layout>
              <c:numFmt formatCode="General" sourceLinked="0"/>
              <c:spPr>
                <a:noFill/>
                <a:ln>
                  <a:noFill/>
                </a:ln>
              </c:spPr>
              <c:txPr>
                <a:bodyPr vert="horz"/>
                <a:lstStyle/>
                <a:p>
                  <a:pPr>
                    <a:defRPr sz="1000" b="0" i="0" u="none" strike="noStrike" baseline="0">
                      <a:solidFill>
                        <a:srgbClr val="404040"/>
                      </a:solidFill>
                      <a:latin typeface="Times New Roman"/>
                      <a:ea typeface="永中宋体"/>
                      <a:cs typeface="Lucida Sans"/>
                    </a:defRPr>
                  </a:pPr>
                  <a:endParaRPr lang="zh-CN"/>
                </a:p>
              </c:txPr>
              <c:showLegendKey val="0"/>
              <c:showVal val="1"/>
              <c:showCatName val="0"/>
              <c:showSerName val="0"/>
              <c:showPercent val="0"/>
              <c:showBubbleSize val="0"/>
            </c:dLbl>
            <c:dLbl>
              <c:idx val="3"/>
              <c:layout>
                <c:manualLayout>
                  <c:x val="0.0010231453"/>
                  <c:y val="-0.03292295"/>
                </c:manualLayout>
              </c:layout>
              <c:numFmt formatCode="General" sourceLinked="0"/>
              <c:spPr>
                <a:noFill/>
                <a:ln>
                  <a:noFill/>
                </a:ln>
              </c:spPr>
              <c:txPr>
                <a:bodyPr vert="horz"/>
                <a:lstStyle/>
                <a:p>
                  <a:pPr>
                    <a:defRPr sz="1000" b="0" i="0" u="none" strike="noStrike" baseline="0">
                      <a:solidFill>
                        <a:srgbClr val="404040"/>
                      </a:solidFill>
                      <a:latin typeface="Times New Roman"/>
                      <a:ea typeface="永中宋体"/>
                      <a:cs typeface="Lucida Sans"/>
                    </a:defRPr>
                  </a:pPr>
                  <a:endParaRPr lang="zh-CN"/>
                </a:p>
              </c:txPr>
              <c:showLegendKey val="0"/>
              <c:showVal val="1"/>
              <c:showCatName val="0"/>
              <c:showSerName val="0"/>
              <c:showPercent val="0"/>
              <c:showBubbleSize val="0"/>
            </c:dLbl>
            <c:dLbl>
              <c:idx val="4"/>
              <c:layout>
                <c:manualLayout>
                  <c:x val="0.14731431"/>
                  <c:y val="-0.029373499"/>
                </c:manualLayout>
              </c:layout>
              <c:numFmt formatCode="General" sourceLinked="0"/>
              <c:spPr>
                <a:noFill/>
                <a:ln>
                  <a:noFill/>
                </a:ln>
              </c:spPr>
              <c:txPr>
                <a:bodyPr vert="horz"/>
                <a:lstStyle/>
                <a:p>
                  <a:pPr>
                    <a:defRPr sz="1000" b="0" i="0" u="none" strike="noStrike" baseline="0">
                      <a:solidFill>
                        <a:srgbClr val="404040"/>
                      </a:solidFill>
                      <a:latin typeface="Times New Roman"/>
                      <a:ea typeface="永中宋体"/>
                      <a:cs typeface="Lucida Sans"/>
                    </a:defRPr>
                  </a:pPr>
                  <a:endParaRPr lang="zh-CN"/>
                </a:p>
              </c:txPr>
              <c:showLegendKey val="0"/>
              <c:showVal val="1"/>
              <c:showCatName val="0"/>
              <c:showSerName val="0"/>
              <c:showPercent val="0"/>
              <c:showBubbleSize val="0"/>
            </c:dLbl>
            <c:showLegendKey val="0"/>
            <c:showVal val="1"/>
            <c:showCatName val="0"/>
            <c:showSerName val="0"/>
            <c:showPercent val="0"/>
            <c:showBubbleSize val="0"/>
            <c:showLeaderLines val="1"/>
          </c:dLbls>
          <c:cat>
            <c:strLit>
              <c:ptCount val="5"/>
              <c:pt idx="0">
                <c:v>一般公共服务支出</c:v>
              </c:pt>
              <c:pt idx="1">
                <c:v>社会保障和就业支出</c:v>
              </c:pt>
              <c:pt idx="2">
                <c:v>卫生健康支出</c:v>
              </c:pt>
              <c:pt idx="3">
                <c:v>农林水支出</c:v>
              </c:pt>
              <c:pt idx="4">
                <c:v>住房保障支出</c:v>
              </c:pt>
            </c:strLit>
          </c:cat>
          <c:val>
            <c:numRef>
              <c:f/>
              <c:numCache>
                <c:formatCode>General</c:formatCode>
                <c:ptCount val="5"/>
                <c:pt idx="0">
                  <c:v>1460.52</c:v>
                </c:pt>
                <c:pt idx="1">
                  <c:v>632.66</c:v>
                </c:pt>
                <c:pt idx="2">
                  <c:v>84.59</c:v>
                </c:pt>
                <c:pt idx="3">
                  <c:v>1.44</c:v>
                </c:pt>
                <c:pt idx="4">
                  <c:v>98.59</c:v>
                </c:pt>
              </c:numCache>
            </c:numRef>
          </c:val>
        </c:ser>
        <c:firstSliceAng val="0"/>
      </c:pieChart>
      <c:spPr>
        <a:noFill/>
        <a:ln>
          <a:noFill/>
        </a:ln>
      </c:spPr>
    </c:plotArea>
    <c:legend>
      <c:legendPos val="t"/>
      <c:layout/>
      <c:overlay val="0"/>
      <c:spPr>
        <a:noFill/>
        <a:ln>
          <a:noFill/>
        </a:ln>
      </c:spPr>
      <c:txPr>
        <a:bodyPr/>
        <a:lstStyle/>
        <a:p>
          <a:pPr>
            <a:defRPr sz="900" b="0" i="0" u="none" strike="noStrike" baseline="0">
              <a:solidFill>
                <a:srgbClr val="595959"/>
              </a:solidFill>
              <a:latin typeface="Times New Roman"/>
              <a:ea typeface="永中宋体"/>
              <a:cs typeface="Lucida Sans"/>
            </a:defRPr>
          </a:pPr>
          <a:endParaRPr lang="zh-CN"/>
        </a:p>
      </c:txPr>
    </c:legend>
    <c:plotVisOnly val="1"/>
    <c:dispBlanksAs val="zero"/>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永中宋体"/>
          <a:cs typeface="Lucida Sans"/>
        </a:defRPr>
      </a:pPr>
      <a:endParaRPr lang="zh-CN"/>
    </a:p>
  </c:txPr>
  <c:printSettings>
    <c:headerFooter/>
    <c:pageMargins b="0.75" l="0.7" r="0.7" t="0.75" header="0.3" footer="0.3"/>
    <c:pageSetup/>
  </c:printSettings>
  <c:externalData r:id="rId1">
    <c:autoUpdate val="0"/>
  </c:externalData>
</c:chartSpace>
</file>

<file path=docProps/app.xml><?xml version="1.0" encoding="utf-8"?>
<Properties xmlns="http://schemas.openxmlformats.org/officeDocument/2006/extended-properties">
  <Template>Normal.eit</Template>
  <TotalTime>29</TotalTime>
  <Application>Yozo_Office27021597764231179</Application>
  <Pages>38</Pages>
  <Words>12448</Words>
  <Characters>13508</Characters>
  <Lines>775</Lines>
  <Paragraphs>336</Paragraphs>
  <CharactersWithSpaces>13637</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134</cp:revision>
  <cp:lastPrinted>2023-08-04T02:35:00Z</cp:lastPrinted>
  <dcterms:created xsi:type="dcterms:W3CDTF">2024-09-07T00:39:00Z</dcterms:created>
  <dcterms:modified xsi:type="dcterms:W3CDTF">2024-09-14T03:35:13Z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2052-12.1.0.17827</vt:lpwstr>
  </property>
  <property fmtid="{D5CDD505-2E9C-101B-9397-08002B2CF9AE}" pid="3" name="ICV">
    <vt:lpwstr>A7E27D6A2FE24B668340BA569DF501F8_12</vt:lpwstr>
  </property>
</Properties>
</file>